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42A0F">
      <w:pPr>
        <w:widowControl/>
        <w:spacing w:before="156"/>
        <w:jc w:val="center"/>
        <w:rPr>
          <w:rFonts w:ascii="黑体" w:hAnsi="黑体" w:eastAsia="黑体"/>
          <w:b/>
          <w:sz w:val="28"/>
          <w:szCs w:val="28"/>
        </w:rPr>
      </w:pPr>
      <w:permStart w:id="0" w:edGrp="everyone"/>
      <w:r>
        <w:rPr>
          <w:rFonts w:hint="eastAsia" w:ascii="黑体" w:hAnsi="黑体" w:eastAsia="黑体"/>
          <w:b/>
          <w:sz w:val="28"/>
          <w:szCs w:val="28"/>
        </w:rPr>
        <w:t>兴银理财【稳利安盈封闭式</w:t>
      </w:r>
      <w:bookmarkStart w:id="0" w:name="_GoBack"/>
      <w:bookmarkEnd w:id="0"/>
      <w:r>
        <w:rPr>
          <w:rFonts w:hint="eastAsia" w:ascii="黑体" w:hAnsi="黑体" w:eastAsia="黑体"/>
          <w:b/>
          <w:sz w:val="28"/>
          <w:szCs w:val="28"/>
        </w:rPr>
        <w:t>】理财产品</w:t>
      </w:r>
      <w:permEnd w:id="0"/>
    </w:p>
    <w:p w14:paraId="038F1EA2">
      <w:pPr>
        <w:widowControl/>
        <w:spacing w:before="156"/>
        <w:jc w:val="center"/>
        <w:rPr>
          <w:rFonts w:ascii="黑体" w:hAnsi="黑体" w:eastAsia="黑体"/>
          <w:b/>
          <w:sz w:val="28"/>
          <w:szCs w:val="28"/>
        </w:rPr>
      </w:pPr>
      <w:r>
        <w:rPr>
          <w:rFonts w:hint="eastAsia" w:ascii="黑体" w:hAnsi="黑体" w:eastAsia="黑体"/>
          <w:b/>
          <w:sz w:val="28"/>
          <w:szCs w:val="28"/>
        </w:rPr>
        <w:t>（代理）销售协议书</w:t>
      </w:r>
    </w:p>
    <w:p w14:paraId="72743817">
      <w:pPr>
        <w:autoSpaceDE w:val="0"/>
        <w:autoSpaceDN w:val="0"/>
        <w:adjustRightInd w:val="0"/>
        <w:snapToGrid w:val="0"/>
        <w:spacing w:before="156" w:beforeLines="50" w:line="320" w:lineRule="exact"/>
        <w:jc w:val="center"/>
        <w:rPr>
          <w:rFonts w:ascii="宋体" w:hAnsi="宋体"/>
          <w:b/>
          <w:sz w:val="32"/>
          <w:szCs w:val="32"/>
        </w:rPr>
      </w:pPr>
      <w:r>
        <w:rPr>
          <w:rFonts w:hint="eastAsia" w:ascii="宋体" w:hAnsi="宋体"/>
          <w:b/>
          <w:sz w:val="24"/>
        </w:rPr>
        <w:t>理财非存款、产品有风险、投资须谨慎</w:t>
      </w:r>
    </w:p>
    <w:p w14:paraId="6BD8541F">
      <w:pPr>
        <w:tabs>
          <w:tab w:val="left" w:pos="8070"/>
          <w:tab w:val="right" w:pos="8306"/>
        </w:tabs>
        <w:autoSpaceDE w:val="0"/>
        <w:autoSpaceDN w:val="0"/>
        <w:adjustRightInd w:val="0"/>
        <w:snapToGrid w:val="0"/>
        <w:spacing w:before="156" w:beforeLines="50" w:line="320" w:lineRule="exact"/>
        <w:jc w:val="center"/>
        <w:rPr>
          <w:rFonts w:ascii="宋体" w:hAnsi="宋体"/>
          <w:b/>
          <w:szCs w:val="21"/>
          <w:u w:val="single"/>
        </w:rPr>
      </w:pPr>
      <w:r>
        <w:rPr>
          <w:rFonts w:hint="eastAsia" w:ascii="宋体" w:hAnsi="宋体"/>
          <w:b/>
          <w:szCs w:val="21"/>
        </w:rPr>
        <w:t>协议编号：</w:t>
      </w:r>
    </w:p>
    <w:p w14:paraId="2490AB82">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tbl>
      <w:tblPr>
        <w:tblStyle w:val="8"/>
        <w:tblW w:w="75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817"/>
        <w:gridCol w:w="635"/>
        <w:gridCol w:w="1085"/>
        <w:gridCol w:w="1384"/>
        <w:gridCol w:w="1234"/>
        <w:gridCol w:w="2443"/>
      </w:tblGrid>
      <w:tr w14:paraId="443C92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7598" w:type="dxa"/>
            <w:gridSpan w:val="6"/>
            <w:tcBorders>
              <w:bottom w:val="single" w:color="auto" w:sz="12" w:space="0"/>
            </w:tcBorders>
            <w:shd w:val="pct10" w:color="FFFFFF" w:fill="D8D8D8" w:themeFill="background1" w:themeFillShade="D9"/>
            <w:vAlign w:val="center"/>
          </w:tcPr>
          <w:p w14:paraId="5B20232F">
            <w:pPr>
              <w:pBdr>
                <w:bottom w:val="single" w:color="auto" w:sz="6" w:space="1"/>
              </w:pBdr>
              <w:snapToGrid w:val="0"/>
              <w:spacing w:line="320" w:lineRule="exact"/>
              <w:jc w:val="center"/>
              <w:rPr>
                <w:rFonts w:ascii="宋体" w:hAnsi="宋体"/>
                <w:b/>
                <w:bCs/>
                <w:sz w:val="28"/>
                <w:szCs w:val="28"/>
              </w:rPr>
            </w:pPr>
            <w:r>
              <w:rPr>
                <w:rFonts w:hint="eastAsia" w:ascii="宋体" w:hAnsi="宋体"/>
                <w:b/>
                <w:bCs/>
                <w:sz w:val="28"/>
                <w:szCs w:val="28"/>
              </w:rPr>
              <w:t>信息栏</w:t>
            </w:r>
          </w:p>
          <w:p w14:paraId="2FF90CE0">
            <w:pPr>
              <w:pStyle w:val="5"/>
              <w:spacing w:line="320" w:lineRule="exact"/>
              <w:rPr>
                <w:rFonts w:ascii="宋体" w:hAnsi="宋体"/>
                <w:b/>
                <w:bCs/>
                <w:sz w:val="28"/>
                <w:szCs w:val="28"/>
              </w:rPr>
            </w:pPr>
          </w:p>
        </w:tc>
      </w:tr>
      <w:tr w14:paraId="68B9C3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7598" w:type="dxa"/>
            <w:gridSpan w:val="6"/>
            <w:shd w:val="pct10" w:color="A5A5A5" w:themeColor="background1" w:themeShade="A6" w:fill="A5A5A5" w:themeFill="background1" w:themeFillShade="A6"/>
            <w:vAlign w:val="center"/>
          </w:tcPr>
          <w:p w14:paraId="33F1B5B1">
            <w:pPr>
              <w:pStyle w:val="5"/>
              <w:spacing w:line="320" w:lineRule="exact"/>
              <w:rPr>
                <w:rFonts w:ascii="宋体" w:hAnsi="宋体"/>
                <w:b/>
                <w:bCs/>
                <w:sz w:val="28"/>
                <w:szCs w:val="28"/>
              </w:rPr>
            </w:pPr>
          </w:p>
        </w:tc>
      </w:tr>
      <w:tr w14:paraId="347B53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restart"/>
            <w:shd w:val="solid" w:color="FFFFFF" w:fill="FFFFFF"/>
            <w:vAlign w:val="center"/>
          </w:tcPr>
          <w:p w14:paraId="65AAAEDC">
            <w:pPr>
              <w:spacing w:line="320" w:lineRule="exact"/>
              <w:jc w:val="left"/>
              <w:rPr>
                <w:rFonts w:ascii="宋体" w:hAnsi="宋体"/>
                <w:b/>
                <w:bCs/>
                <w:sz w:val="18"/>
                <w:szCs w:val="18"/>
              </w:rPr>
            </w:pPr>
            <w:permStart w:id="1" w:edGrp="everyone" w:colFirst="3" w:colLast="3"/>
            <w:r>
              <w:rPr>
                <w:rFonts w:hint="eastAsia" w:ascii="宋体" w:hAnsi="宋体"/>
                <w:b/>
                <w:bCs/>
                <w:sz w:val="18"/>
                <w:szCs w:val="18"/>
              </w:rPr>
              <w:t>投资者信息</w:t>
            </w:r>
          </w:p>
        </w:tc>
        <w:tc>
          <w:tcPr>
            <w:tcW w:w="635" w:type="dxa"/>
            <w:vMerge w:val="restart"/>
            <w:shd w:val="solid" w:color="FFFFFF" w:fill="FFFFFF"/>
            <w:vAlign w:val="center"/>
          </w:tcPr>
          <w:p w14:paraId="4D6CF889">
            <w:pPr>
              <w:spacing w:line="320" w:lineRule="exact"/>
              <w:jc w:val="left"/>
              <w:rPr>
                <w:rFonts w:ascii="宋体" w:hAnsi="宋体"/>
                <w:bCs/>
                <w:sz w:val="18"/>
                <w:szCs w:val="18"/>
              </w:rPr>
            </w:pPr>
            <w:r>
              <w:rPr>
                <w:rFonts w:hint="eastAsia" w:ascii="宋体" w:hAnsi="宋体"/>
                <w:bCs/>
                <w:sz w:val="18"/>
                <w:szCs w:val="18"/>
              </w:rPr>
              <w:t>个人投资者适用</w:t>
            </w:r>
          </w:p>
        </w:tc>
        <w:tc>
          <w:tcPr>
            <w:tcW w:w="1085" w:type="dxa"/>
            <w:shd w:val="solid" w:color="FFFFFF" w:fill="FFFFFF"/>
            <w:vAlign w:val="center"/>
          </w:tcPr>
          <w:p w14:paraId="75D0D38C">
            <w:pPr>
              <w:spacing w:line="320" w:lineRule="exact"/>
              <w:jc w:val="left"/>
              <w:rPr>
                <w:rFonts w:ascii="宋体" w:hAnsi="宋体"/>
                <w:bCs/>
                <w:sz w:val="18"/>
                <w:szCs w:val="18"/>
              </w:rPr>
            </w:pPr>
            <w:r>
              <w:rPr>
                <w:rFonts w:hint="eastAsia" w:ascii="宋体" w:hAnsi="宋体"/>
                <w:bCs/>
                <w:sz w:val="18"/>
                <w:szCs w:val="18"/>
              </w:rPr>
              <w:t>姓名</w:t>
            </w:r>
          </w:p>
        </w:tc>
        <w:tc>
          <w:tcPr>
            <w:tcW w:w="5061" w:type="dxa"/>
            <w:gridSpan w:val="3"/>
            <w:shd w:val="solid" w:color="FFFFFF" w:fill="FFFFFF"/>
            <w:vAlign w:val="center"/>
          </w:tcPr>
          <w:p w14:paraId="08CB09B5">
            <w:pPr>
              <w:spacing w:line="320" w:lineRule="exact"/>
              <w:jc w:val="left"/>
              <w:rPr>
                <w:rFonts w:ascii="宋体" w:hAnsi="宋体"/>
                <w:bCs/>
                <w:sz w:val="18"/>
                <w:szCs w:val="18"/>
              </w:rPr>
            </w:pPr>
          </w:p>
        </w:tc>
      </w:tr>
      <w:permEnd w:id="1"/>
      <w:tr w14:paraId="1388811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2F40DA76">
            <w:pPr>
              <w:spacing w:line="320" w:lineRule="exact"/>
              <w:jc w:val="left"/>
              <w:rPr>
                <w:rFonts w:ascii="宋体" w:hAnsi="宋体"/>
                <w:b/>
                <w:bCs/>
                <w:sz w:val="18"/>
                <w:szCs w:val="18"/>
              </w:rPr>
            </w:pPr>
            <w:permStart w:id="2" w:edGrp="everyone" w:colFirst="3" w:colLast="3"/>
            <w:permStart w:id="3" w:edGrp="everyone" w:colFirst="5" w:colLast="5"/>
          </w:p>
        </w:tc>
        <w:tc>
          <w:tcPr>
            <w:tcW w:w="635" w:type="dxa"/>
            <w:vMerge w:val="continue"/>
            <w:shd w:val="solid" w:color="FFFFFF" w:fill="FFFFFF"/>
            <w:vAlign w:val="center"/>
          </w:tcPr>
          <w:p w14:paraId="1AFB30F2">
            <w:pPr>
              <w:spacing w:line="320" w:lineRule="exact"/>
              <w:jc w:val="left"/>
              <w:rPr>
                <w:rFonts w:ascii="宋体" w:hAnsi="宋体"/>
                <w:bCs/>
                <w:sz w:val="18"/>
                <w:szCs w:val="18"/>
              </w:rPr>
            </w:pPr>
          </w:p>
        </w:tc>
        <w:tc>
          <w:tcPr>
            <w:tcW w:w="1085" w:type="dxa"/>
            <w:shd w:val="solid" w:color="FFFFFF" w:fill="FFFFFF"/>
            <w:vAlign w:val="center"/>
          </w:tcPr>
          <w:p w14:paraId="06389F97">
            <w:pPr>
              <w:spacing w:line="320" w:lineRule="exact"/>
              <w:jc w:val="left"/>
              <w:rPr>
                <w:rFonts w:ascii="宋体" w:hAnsi="宋体"/>
                <w:bCs/>
                <w:sz w:val="18"/>
                <w:szCs w:val="18"/>
              </w:rPr>
            </w:pPr>
            <w:r>
              <w:rPr>
                <w:rFonts w:hint="eastAsia" w:ascii="宋体" w:hAnsi="宋体"/>
                <w:bCs/>
                <w:sz w:val="18"/>
                <w:szCs w:val="18"/>
              </w:rPr>
              <w:t>证件类型</w:t>
            </w:r>
          </w:p>
        </w:tc>
        <w:tc>
          <w:tcPr>
            <w:tcW w:w="1384" w:type="dxa"/>
            <w:shd w:val="solid" w:color="FFFFFF" w:fill="FFFFFF"/>
            <w:vAlign w:val="center"/>
          </w:tcPr>
          <w:p w14:paraId="2A90B3FC">
            <w:pPr>
              <w:spacing w:line="320" w:lineRule="exact"/>
              <w:jc w:val="left"/>
              <w:rPr>
                <w:rFonts w:ascii="宋体" w:hAnsi="宋体"/>
                <w:bCs/>
                <w:sz w:val="18"/>
                <w:szCs w:val="18"/>
              </w:rPr>
            </w:pPr>
          </w:p>
        </w:tc>
        <w:tc>
          <w:tcPr>
            <w:tcW w:w="1234" w:type="dxa"/>
            <w:shd w:val="solid" w:color="FFFFFF" w:fill="FFFFFF"/>
            <w:vAlign w:val="center"/>
          </w:tcPr>
          <w:p w14:paraId="481E0D21">
            <w:pPr>
              <w:spacing w:line="320" w:lineRule="exact"/>
              <w:jc w:val="left"/>
              <w:rPr>
                <w:rFonts w:ascii="宋体" w:hAnsi="宋体"/>
                <w:bCs/>
                <w:sz w:val="18"/>
                <w:szCs w:val="18"/>
              </w:rPr>
            </w:pPr>
            <w:r>
              <w:rPr>
                <w:rFonts w:hint="eastAsia" w:ascii="宋体" w:hAnsi="宋体"/>
                <w:bCs/>
                <w:sz w:val="18"/>
                <w:szCs w:val="18"/>
              </w:rPr>
              <w:t>证件号码</w:t>
            </w:r>
          </w:p>
        </w:tc>
        <w:tc>
          <w:tcPr>
            <w:tcW w:w="2443" w:type="dxa"/>
            <w:shd w:val="solid" w:color="FFFFFF" w:fill="FFFFFF"/>
            <w:vAlign w:val="center"/>
          </w:tcPr>
          <w:p w14:paraId="4A798C8C">
            <w:pPr>
              <w:spacing w:line="320" w:lineRule="exact"/>
              <w:jc w:val="left"/>
              <w:rPr>
                <w:rFonts w:ascii="宋体" w:hAnsi="宋体"/>
                <w:bCs/>
                <w:sz w:val="18"/>
                <w:szCs w:val="18"/>
              </w:rPr>
            </w:pPr>
          </w:p>
        </w:tc>
      </w:tr>
      <w:permEnd w:id="2"/>
      <w:permEnd w:id="3"/>
      <w:tr w14:paraId="35925A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31D704CC">
            <w:pPr>
              <w:spacing w:line="320" w:lineRule="exact"/>
              <w:jc w:val="left"/>
              <w:rPr>
                <w:rFonts w:ascii="宋体" w:hAnsi="宋体"/>
                <w:b/>
                <w:bCs/>
                <w:sz w:val="18"/>
                <w:szCs w:val="18"/>
              </w:rPr>
            </w:pPr>
            <w:permStart w:id="4" w:edGrp="everyone" w:colFirst="3" w:colLast="3"/>
            <w:permStart w:id="5" w:edGrp="everyone" w:colFirst="5" w:colLast="5"/>
          </w:p>
        </w:tc>
        <w:tc>
          <w:tcPr>
            <w:tcW w:w="635" w:type="dxa"/>
            <w:vMerge w:val="continue"/>
            <w:shd w:val="solid" w:color="FFFFFF" w:fill="FFFFFF"/>
            <w:vAlign w:val="center"/>
          </w:tcPr>
          <w:p w14:paraId="0A51A7E1">
            <w:pPr>
              <w:spacing w:line="320" w:lineRule="exact"/>
              <w:jc w:val="left"/>
              <w:rPr>
                <w:rFonts w:ascii="宋体" w:hAnsi="宋体"/>
                <w:bCs/>
                <w:sz w:val="18"/>
                <w:szCs w:val="18"/>
              </w:rPr>
            </w:pPr>
          </w:p>
        </w:tc>
        <w:tc>
          <w:tcPr>
            <w:tcW w:w="1085" w:type="dxa"/>
            <w:shd w:val="solid" w:color="FFFFFF" w:fill="FFFFFF"/>
            <w:vAlign w:val="center"/>
          </w:tcPr>
          <w:p w14:paraId="26DD0B5A">
            <w:pPr>
              <w:spacing w:line="320" w:lineRule="exact"/>
              <w:jc w:val="left"/>
              <w:rPr>
                <w:rFonts w:ascii="宋体" w:hAnsi="宋体"/>
                <w:bCs/>
                <w:sz w:val="18"/>
                <w:szCs w:val="18"/>
              </w:rPr>
            </w:pPr>
            <w:r>
              <w:rPr>
                <w:rFonts w:hint="eastAsia" w:ascii="宋体" w:hAnsi="宋体"/>
                <w:bCs/>
                <w:sz w:val="18"/>
                <w:szCs w:val="18"/>
              </w:rPr>
              <w:t>联系电话</w:t>
            </w:r>
          </w:p>
        </w:tc>
        <w:tc>
          <w:tcPr>
            <w:tcW w:w="1384" w:type="dxa"/>
            <w:shd w:val="solid" w:color="FFFFFF" w:fill="FFFFFF"/>
            <w:vAlign w:val="center"/>
          </w:tcPr>
          <w:p w14:paraId="1013194C">
            <w:pPr>
              <w:spacing w:line="320" w:lineRule="exact"/>
              <w:jc w:val="left"/>
              <w:rPr>
                <w:rFonts w:ascii="宋体" w:hAnsi="宋体"/>
                <w:bCs/>
                <w:sz w:val="18"/>
                <w:szCs w:val="18"/>
              </w:rPr>
            </w:pPr>
          </w:p>
        </w:tc>
        <w:tc>
          <w:tcPr>
            <w:tcW w:w="1234" w:type="dxa"/>
            <w:shd w:val="solid" w:color="FFFFFF" w:fill="FFFFFF"/>
            <w:vAlign w:val="center"/>
          </w:tcPr>
          <w:p w14:paraId="678797D9">
            <w:pPr>
              <w:spacing w:line="320" w:lineRule="exact"/>
              <w:jc w:val="left"/>
              <w:rPr>
                <w:rFonts w:ascii="宋体" w:hAnsi="宋体"/>
                <w:bCs/>
                <w:sz w:val="18"/>
                <w:szCs w:val="18"/>
              </w:rPr>
            </w:pPr>
            <w:r>
              <w:rPr>
                <w:rFonts w:hint="eastAsia" w:ascii="宋体" w:hAnsi="宋体"/>
                <w:bCs/>
                <w:sz w:val="18"/>
                <w:szCs w:val="18"/>
              </w:rPr>
              <w:t>电子邮箱</w:t>
            </w:r>
          </w:p>
        </w:tc>
        <w:tc>
          <w:tcPr>
            <w:tcW w:w="2443" w:type="dxa"/>
            <w:shd w:val="solid" w:color="FFFFFF" w:fill="FFFFFF"/>
            <w:vAlign w:val="center"/>
          </w:tcPr>
          <w:p w14:paraId="056B2FDC">
            <w:pPr>
              <w:spacing w:line="320" w:lineRule="exact"/>
              <w:jc w:val="left"/>
              <w:rPr>
                <w:rFonts w:ascii="宋体" w:hAnsi="宋体"/>
                <w:bCs/>
                <w:sz w:val="18"/>
                <w:szCs w:val="18"/>
              </w:rPr>
            </w:pPr>
          </w:p>
        </w:tc>
      </w:tr>
      <w:permEnd w:id="4"/>
      <w:permEnd w:id="5"/>
      <w:tr w14:paraId="6E354C1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7B9CFC19">
            <w:pPr>
              <w:spacing w:line="320" w:lineRule="exact"/>
              <w:jc w:val="left"/>
              <w:rPr>
                <w:rFonts w:ascii="宋体" w:hAnsi="宋体"/>
                <w:b/>
                <w:bCs/>
                <w:sz w:val="18"/>
                <w:szCs w:val="18"/>
              </w:rPr>
            </w:pPr>
            <w:permStart w:id="6" w:edGrp="everyone" w:colFirst="3" w:colLast="3"/>
          </w:p>
        </w:tc>
        <w:tc>
          <w:tcPr>
            <w:tcW w:w="635" w:type="dxa"/>
            <w:vMerge w:val="continue"/>
            <w:shd w:val="solid" w:color="FFFFFF" w:fill="FFFFFF"/>
            <w:vAlign w:val="center"/>
          </w:tcPr>
          <w:p w14:paraId="61B1DEEF">
            <w:pPr>
              <w:spacing w:line="320" w:lineRule="exact"/>
              <w:jc w:val="left"/>
              <w:rPr>
                <w:rFonts w:ascii="宋体" w:hAnsi="宋体"/>
                <w:bCs/>
                <w:sz w:val="18"/>
                <w:szCs w:val="18"/>
              </w:rPr>
            </w:pPr>
          </w:p>
        </w:tc>
        <w:tc>
          <w:tcPr>
            <w:tcW w:w="1085" w:type="dxa"/>
            <w:shd w:val="solid" w:color="FFFFFF" w:fill="FFFFFF"/>
            <w:vAlign w:val="center"/>
          </w:tcPr>
          <w:p w14:paraId="7A939550">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shd w:val="solid" w:color="FFFFFF" w:fill="FFFFFF"/>
            <w:vAlign w:val="center"/>
          </w:tcPr>
          <w:p w14:paraId="6C78BB33">
            <w:pPr>
              <w:spacing w:line="320" w:lineRule="exact"/>
              <w:jc w:val="left"/>
              <w:rPr>
                <w:rFonts w:ascii="宋体" w:hAnsi="宋体"/>
                <w:bCs/>
                <w:sz w:val="18"/>
                <w:szCs w:val="18"/>
              </w:rPr>
            </w:pPr>
          </w:p>
        </w:tc>
      </w:tr>
      <w:permEnd w:id="6"/>
      <w:tr w14:paraId="6BEAED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4EACFE32">
            <w:pPr>
              <w:spacing w:line="320" w:lineRule="exact"/>
              <w:jc w:val="left"/>
              <w:rPr>
                <w:rFonts w:ascii="宋体" w:hAnsi="宋体"/>
                <w:b/>
                <w:bCs/>
                <w:sz w:val="18"/>
                <w:szCs w:val="18"/>
              </w:rPr>
            </w:pPr>
            <w:permStart w:id="7" w:edGrp="everyone" w:colFirst="3" w:colLast="3"/>
          </w:p>
        </w:tc>
        <w:tc>
          <w:tcPr>
            <w:tcW w:w="635" w:type="dxa"/>
            <w:vMerge w:val="continue"/>
            <w:shd w:val="solid" w:color="FFFFFF" w:fill="FFFFFF"/>
            <w:vAlign w:val="center"/>
          </w:tcPr>
          <w:p w14:paraId="5FF11C99">
            <w:pPr>
              <w:spacing w:line="320" w:lineRule="exact"/>
              <w:jc w:val="left"/>
              <w:rPr>
                <w:rFonts w:ascii="宋体" w:hAnsi="宋体"/>
                <w:bCs/>
                <w:sz w:val="18"/>
                <w:szCs w:val="18"/>
              </w:rPr>
            </w:pPr>
          </w:p>
        </w:tc>
        <w:tc>
          <w:tcPr>
            <w:tcW w:w="1085" w:type="dxa"/>
            <w:tcBorders>
              <w:bottom w:val="single" w:color="auto" w:sz="12" w:space="0"/>
            </w:tcBorders>
            <w:shd w:val="solid" w:color="FFFFFF" w:fill="FFFFFF"/>
            <w:vAlign w:val="center"/>
          </w:tcPr>
          <w:p w14:paraId="232F40B2">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bottom w:val="single" w:color="auto" w:sz="12" w:space="0"/>
            </w:tcBorders>
            <w:shd w:val="solid" w:color="FFFFFF" w:fill="FFFFFF"/>
            <w:vAlign w:val="center"/>
          </w:tcPr>
          <w:p w14:paraId="4EB563D8">
            <w:pPr>
              <w:spacing w:line="320" w:lineRule="exact"/>
              <w:jc w:val="left"/>
              <w:rPr>
                <w:rFonts w:ascii="宋体" w:hAnsi="宋体"/>
                <w:bCs/>
                <w:sz w:val="18"/>
                <w:szCs w:val="18"/>
              </w:rPr>
            </w:pPr>
          </w:p>
        </w:tc>
      </w:tr>
      <w:permEnd w:id="7"/>
      <w:tr w14:paraId="51FF689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09425E3F">
            <w:pPr>
              <w:spacing w:line="320" w:lineRule="exact"/>
              <w:jc w:val="left"/>
              <w:rPr>
                <w:rFonts w:ascii="宋体" w:hAnsi="宋体"/>
                <w:b/>
                <w:bCs/>
                <w:sz w:val="18"/>
                <w:szCs w:val="18"/>
              </w:rPr>
            </w:pPr>
            <w:permStart w:id="8" w:edGrp="everyone" w:colFirst="3" w:colLast="3"/>
          </w:p>
        </w:tc>
        <w:tc>
          <w:tcPr>
            <w:tcW w:w="635" w:type="dxa"/>
            <w:vMerge w:val="restart"/>
            <w:tcBorders>
              <w:right w:val="single" w:color="auto" w:sz="12" w:space="0"/>
            </w:tcBorders>
            <w:shd w:val="solid" w:color="FFFFFF" w:fill="FFFFFF"/>
            <w:vAlign w:val="center"/>
          </w:tcPr>
          <w:p w14:paraId="1C55C7D2">
            <w:pPr>
              <w:spacing w:line="320" w:lineRule="exact"/>
              <w:jc w:val="left"/>
              <w:rPr>
                <w:rFonts w:ascii="宋体" w:hAnsi="宋体"/>
                <w:bCs/>
                <w:sz w:val="18"/>
                <w:szCs w:val="18"/>
              </w:rPr>
            </w:pPr>
            <w:r>
              <w:rPr>
                <w:rFonts w:hint="eastAsia" w:ascii="宋体" w:hAnsi="宋体"/>
                <w:bCs/>
                <w:sz w:val="18"/>
                <w:szCs w:val="18"/>
              </w:rPr>
              <w:t>机构投资者适用</w:t>
            </w: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AB5EA58">
            <w:pPr>
              <w:spacing w:line="320" w:lineRule="exact"/>
              <w:jc w:val="left"/>
              <w:rPr>
                <w:rFonts w:ascii="宋体" w:hAnsi="宋体"/>
                <w:bCs/>
                <w:sz w:val="18"/>
                <w:szCs w:val="18"/>
              </w:rPr>
            </w:pPr>
            <w:r>
              <w:rPr>
                <w:rFonts w:hint="eastAsia" w:ascii="宋体" w:hAnsi="宋体"/>
                <w:bCs/>
                <w:sz w:val="18"/>
                <w:szCs w:val="18"/>
              </w:rPr>
              <w:t>机构</w:t>
            </w:r>
            <w:r>
              <w:rPr>
                <w:rFonts w:ascii="宋体" w:hAnsi="宋体"/>
                <w:bCs/>
                <w:sz w:val="18"/>
                <w:szCs w:val="18"/>
              </w:rPr>
              <w:t>名称</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32B3615">
            <w:pPr>
              <w:spacing w:line="320" w:lineRule="exact"/>
              <w:jc w:val="left"/>
              <w:rPr>
                <w:rFonts w:ascii="宋体" w:hAnsi="宋体"/>
                <w:bCs/>
                <w:sz w:val="18"/>
                <w:szCs w:val="18"/>
              </w:rPr>
            </w:pPr>
          </w:p>
        </w:tc>
      </w:tr>
      <w:permEnd w:id="8"/>
      <w:tr w14:paraId="3C8255C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189097C5">
            <w:pPr>
              <w:spacing w:line="320" w:lineRule="exact"/>
              <w:jc w:val="left"/>
              <w:rPr>
                <w:rFonts w:ascii="宋体" w:hAnsi="宋体"/>
                <w:b/>
                <w:bCs/>
                <w:sz w:val="18"/>
                <w:szCs w:val="18"/>
              </w:rPr>
            </w:pPr>
            <w:permStart w:id="9" w:edGrp="everyone" w:colFirst="3" w:colLast="3"/>
            <w:permStart w:id="10" w:edGrp="everyone" w:colFirst="5" w:colLast="5"/>
          </w:p>
        </w:tc>
        <w:tc>
          <w:tcPr>
            <w:tcW w:w="635" w:type="dxa"/>
            <w:vMerge w:val="continue"/>
            <w:tcBorders>
              <w:right w:val="single" w:color="auto" w:sz="12" w:space="0"/>
            </w:tcBorders>
            <w:shd w:val="solid" w:color="FFFFFF" w:fill="FFFFFF"/>
            <w:vAlign w:val="center"/>
          </w:tcPr>
          <w:p w14:paraId="7BF5D4F1">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214C193">
            <w:pPr>
              <w:spacing w:line="320" w:lineRule="exact"/>
              <w:jc w:val="left"/>
              <w:rPr>
                <w:rFonts w:ascii="宋体" w:hAnsi="宋体"/>
                <w:bCs/>
                <w:sz w:val="18"/>
                <w:szCs w:val="18"/>
              </w:rPr>
            </w:pPr>
            <w:r>
              <w:rPr>
                <w:rFonts w:hint="eastAsia" w:ascii="宋体" w:hAnsi="宋体"/>
                <w:bCs/>
                <w:sz w:val="18"/>
                <w:szCs w:val="18"/>
              </w:rPr>
              <w:t>证件类型</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FA6D7E0">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DC51843">
            <w:pPr>
              <w:spacing w:line="320" w:lineRule="exact"/>
              <w:jc w:val="left"/>
              <w:rPr>
                <w:rFonts w:ascii="宋体" w:hAnsi="宋体"/>
                <w:bCs/>
                <w:sz w:val="18"/>
                <w:szCs w:val="18"/>
              </w:rPr>
            </w:pPr>
            <w:r>
              <w:rPr>
                <w:rFonts w:hint="eastAsia" w:ascii="宋体" w:hAnsi="宋体"/>
                <w:bCs/>
                <w:sz w:val="18"/>
                <w:szCs w:val="18"/>
              </w:rPr>
              <w:t>证件号码</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6C61F24">
            <w:pPr>
              <w:spacing w:line="320" w:lineRule="exact"/>
              <w:jc w:val="left"/>
              <w:rPr>
                <w:rFonts w:ascii="宋体" w:hAnsi="宋体"/>
                <w:bCs/>
                <w:sz w:val="18"/>
                <w:szCs w:val="18"/>
              </w:rPr>
            </w:pPr>
          </w:p>
        </w:tc>
      </w:tr>
      <w:permEnd w:id="9"/>
      <w:permEnd w:id="10"/>
      <w:tr w14:paraId="1D3F2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FAA4C3E">
            <w:pPr>
              <w:spacing w:line="320" w:lineRule="exact"/>
              <w:jc w:val="left"/>
              <w:rPr>
                <w:rFonts w:ascii="宋体" w:hAnsi="宋体"/>
                <w:b/>
                <w:bCs/>
                <w:sz w:val="18"/>
                <w:szCs w:val="18"/>
              </w:rPr>
            </w:pPr>
            <w:permStart w:id="11" w:edGrp="everyone" w:colFirst="3" w:colLast="3"/>
          </w:p>
        </w:tc>
        <w:tc>
          <w:tcPr>
            <w:tcW w:w="635" w:type="dxa"/>
            <w:vMerge w:val="continue"/>
            <w:tcBorders>
              <w:right w:val="single" w:color="auto" w:sz="12" w:space="0"/>
            </w:tcBorders>
            <w:shd w:val="solid" w:color="FFFFFF" w:fill="FFFFFF"/>
            <w:vAlign w:val="center"/>
          </w:tcPr>
          <w:p w14:paraId="6F053F7A">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BD2245B">
            <w:pPr>
              <w:spacing w:line="320" w:lineRule="exact"/>
              <w:jc w:val="left"/>
              <w:rPr>
                <w:rFonts w:ascii="宋体" w:hAnsi="宋体"/>
                <w:bCs/>
                <w:sz w:val="18"/>
                <w:szCs w:val="18"/>
              </w:rPr>
            </w:pPr>
            <w:r>
              <w:rPr>
                <w:rFonts w:hint="eastAsia" w:ascii="宋体" w:hAnsi="宋体"/>
                <w:bCs/>
                <w:sz w:val="18"/>
                <w:szCs w:val="18"/>
              </w:rPr>
              <w:t>法定代表人或授权代表</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17AD7F4">
            <w:pPr>
              <w:spacing w:line="320" w:lineRule="exact"/>
              <w:jc w:val="left"/>
              <w:rPr>
                <w:rFonts w:ascii="宋体" w:hAnsi="宋体"/>
                <w:bCs/>
                <w:sz w:val="18"/>
                <w:szCs w:val="18"/>
              </w:rPr>
            </w:pPr>
          </w:p>
        </w:tc>
      </w:tr>
      <w:permEnd w:id="11"/>
      <w:tr w14:paraId="008E93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3B7F26C">
            <w:pPr>
              <w:spacing w:line="320" w:lineRule="exact"/>
              <w:jc w:val="left"/>
              <w:rPr>
                <w:rFonts w:ascii="宋体" w:hAnsi="宋体"/>
                <w:b/>
                <w:bCs/>
                <w:sz w:val="18"/>
                <w:szCs w:val="18"/>
              </w:rPr>
            </w:pPr>
            <w:permStart w:id="12" w:edGrp="everyone" w:colFirst="3" w:colLast="3"/>
            <w:permStart w:id="13" w:edGrp="everyone" w:colFirst="5" w:colLast="5"/>
          </w:p>
        </w:tc>
        <w:tc>
          <w:tcPr>
            <w:tcW w:w="635" w:type="dxa"/>
            <w:vMerge w:val="continue"/>
            <w:tcBorders>
              <w:right w:val="single" w:color="auto" w:sz="12" w:space="0"/>
            </w:tcBorders>
            <w:shd w:val="solid" w:color="FFFFFF" w:fill="FFFFFF"/>
            <w:vAlign w:val="center"/>
          </w:tcPr>
          <w:p w14:paraId="37BE11E0">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BE5D265">
            <w:pPr>
              <w:spacing w:line="320" w:lineRule="exact"/>
              <w:jc w:val="left"/>
              <w:rPr>
                <w:rFonts w:ascii="宋体" w:hAnsi="宋体"/>
                <w:bCs/>
                <w:sz w:val="18"/>
                <w:szCs w:val="18"/>
              </w:rPr>
            </w:pPr>
            <w:r>
              <w:rPr>
                <w:rFonts w:hint="eastAsia" w:ascii="宋体" w:hAnsi="宋体"/>
                <w:bCs/>
                <w:sz w:val="18"/>
                <w:szCs w:val="18"/>
              </w:rPr>
              <w:t>联系电话</w:t>
            </w:r>
          </w:p>
        </w:tc>
        <w:tc>
          <w:tcPr>
            <w:tcW w:w="138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0B12DCC">
            <w:pPr>
              <w:spacing w:line="320" w:lineRule="exact"/>
              <w:jc w:val="left"/>
              <w:rPr>
                <w:rFonts w:ascii="宋体" w:hAnsi="宋体"/>
                <w:bCs/>
                <w:sz w:val="18"/>
                <w:szCs w:val="18"/>
              </w:rPr>
            </w:pPr>
          </w:p>
        </w:tc>
        <w:tc>
          <w:tcPr>
            <w:tcW w:w="123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6ED573D">
            <w:pPr>
              <w:spacing w:line="280" w:lineRule="exact"/>
              <w:jc w:val="left"/>
              <w:rPr>
                <w:rFonts w:ascii="宋体" w:hAnsi="宋体"/>
                <w:bCs/>
                <w:sz w:val="18"/>
                <w:szCs w:val="18"/>
              </w:rPr>
            </w:pPr>
            <w:r>
              <w:rPr>
                <w:rFonts w:hint="eastAsia" w:ascii="宋体" w:hAnsi="宋体"/>
                <w:bCs/>
                <w:sz w:val="18"/>
                <w:szCs w:val="18"/>
              </w:rPr>
              <w:t>电子邮箱</w:t>
            </w:r>
          </w:p>
        </w:tc>
        <w:tc>
          <w:tcPr>
            <w:tcW w:w="2443"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1FD0C52">
            <w:pPr>
              <w:spacing w:line="320" w:lineRule="exact"/>
              <w:jc w:val="left"/>
              <w:rPr>
                <w:rFonts w:ascii="宋体" w:hAnsi="宋体"/>
                <w:bCs/>
                <w:sz w:val="18"/>
                <w:szCs w:val="18"/>
              </w:rPr>
            </w:pPr>
          </w:p>
        </w:tc>
      </w:tr>
      <w:permEnd w:id="12"/>
      <w:permEnd w:id="13"/>
      <w:tr w14:paraId="5D09B2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40" w:hRule="exact"/>
          <w:jc w:val="center"/>
        </w:trPr>
        <w:tc>
          <w:tcPr>
            <w:tcW w:w="817" w:type="dxa"/>
            <w:vMerge w:val="continue"/>
            <w:shd w:val="solid" w:color="FFFFFF" w:fill="FFFFFF"/>
            <w:vAlign w:val="center"/>
          </w:tcPr>
          <w:p w14:paraId="6A5FBC4D">
            <w:pPr>
              <w:spacing w:line="320" w:lineRule="exact"/>
              <w:jc w:val="left"/>
              <w:rPr>
                <w:rFonts w:ascii="宋体" w:hAnsi="宋体"/>
                <w:b/>
                <w:bCs/>
                <w:sz w:val="18"/>
                <w:szCs w:val="18"/>
              </w:rPr>
            </w:pPr>
            <w:permStart w:id="14" w:edGrp="everyone" w:colFirst="3" w:colLast="3"/>
          </w:p>
        </w:tc>
        <w:tc>
          <w:tcPr>
            <w:tcW w:w="635" w:type="dxa"/>
            <w:vMerge w:val="continue"/>
            <w:tcBorders>
              <w:right w:val="single" w:color="auto" w:sz="12" w:space="0"/>
            </w:tcBorders>
            <w:shd w:val="solid" w:color="FFFFFF" w:fill="FFFFFF"/>
            <w:vAlign w:val="center"/>
          </w:tcPr>
          <w:p w14:paraId="5BA42669">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CC3AF51">
            <w:pPr>
              <w:spacing w:line="320" w:lineRule="exact"/>
              <w:jc w:val="left"/>
              <w:rPr>
                <w:rFonts w:ascii="宋体" w:hAnsi="宋体"/>
                <w:bCs/>
                <w:sz w:val="18"/>
                <w:szCs w:val="18"/>
              </w:rPr>
            </w:pPr>
            <w:r>
              <w:rPr>
                <w:rFonts w:hint="eastAsia" w:ascii="宋体" w:hAnsi="宋体"/>
                <w:bCs/>
                <w:sz w:val="18"/>
                <w:szCs w:val="18"/>
              </w:rPr>
              <w:t>联系地址</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2D10AE3">
            <w:pPr>
              <w:spacing w:line="320" w:lineRule="exact"/>
              <w:jc w:val="left"/>
              <w:rPr>
                <w:rFonts w:ascii="宋体" w:hAnsi="宋体"/>
                <w:bCs/>
                <w:sz w:val="18"/>
                <w:szCs w:val="18"/>
              </w:rPr>
            </w:pPr>
          </w:p>
        </w:tc>
      </w:tr>
      <w:permEnd w:id="14"/>
      <w:tr w14:paraId="3FBE07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40" w:hRule="exact"/>
          <w:jc w:val="center"/>
        </w:trPr>
        <w:tc>
          <w:tcPr>
            <w:tcW w:w="817" w:type="dxa"/>
            <w:vMerge w:val="continue"/>
            <w:tcBorders>
              <w:bottom w:val="single" w:color="auto" w:sz="12" w:space="0"/>
            </w:tcBorders>
            <w:shd w:val="solid" w:color="FFFFFF" w:fill="FFFFFF"/>
            <w:vAlign w:val="center"/>
          </w:tcPr>
          <w:p w14:paraId="21AECE99">
            <w:pPr>
              <w:spacing w:line="320" w:lineRule="exact"/>
              <w:jc w:val="left"/>
              <w:rPr>
                <w:rFonts w:ascii="宋体" w:hAnsi="宋体"/>
                <w:b/>
                <w:bCs/>
                <w:sz w:val="18"/>
                <w:szCs w:val="18"/>
              </w:rPr>
            </w:pPr>
            <w:permStart w:id="15" w:edGrp="everyone" w:colFirst="3" w:colLast="3"/>
          </w:p>
        </w:tc>
        <w:tc>
          <w:tcPr>
            <w:tcW w:w="635" w:type="dxa"/>
            <w:vMerge w:val="continue"/>
            <w:tcBorders>
              <w:bottom w:val="single" w:color="auto" w:sz="12" w:space="0"/>
              <w:right w:val="single" w:color="auto" w:sz="12" w:space="0"/>
            </w:tcBorders>
            <w:shd w:val="solid" w:color="FFFFFF" w:fill="FFFFFF"/>
            <w:vAlign w:val="center"/>
          </w:tcPr>
          <w:p w14:paraId="6AB2579A">
            <w:pPr>
              <w:spacing w:line="320" w:lineRule="exact"/>
              <w:jc w:val="left"/>
              <w:rPr>
                <w:rFonts w:ascii="宋体" w:hAnsi="宋体"/>
                <w:bCs/>
                <w:sz w:val="18"/>
                <w:szCs w:val="18"/>
              </w:rPr>
            </w:pPr>
          </w:p>
        </w:tc>
        <w:tc>
          <w:tcPr>
            <w:tcW w:w="1085"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35C11DB">
            <w:pPr>
              <w:spacing w:line="320" w:lineRule="exact"/>
              <w:jc w:val="left"/>
              <w:rPr>
                <w:rFonts w:ascii="宋体" w:hAnsi="宋体"/>
                <w:bCs/>
                <w:sz w:val="18"/>
                <w:szCs w:val="18"/>
              </w:rPr>
            </w:pPr>
            <w:r>
              <w:rPr>
                <w:rFonts w:hint="eastAsia" w:ascii="宋体" w:hAnsi="宋体"/>
                <w:bCs/>
                <w:sz w:val="18"/>
                <w:szCs w:val="18"/>
              </w:rPr>
              <w:t>邮政编码</w:t>
            </w:r>
          </w:p>
        </w:tc>
        <w:tc>
          <w:tcPr>
            <w:tcW w:w="5061"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543A80A3">
            <w:pPr>
              <w:spacing w:line="320" w:lineRule="exact"/>
              <w:jc w:val="left"/>
              <w:rPr>
                <w:rFonts w:ascii="宋体" w:hAnsi="宋体"/>
                <w:bCs/>
                <w:sz w:val="18"/>
                <w:szCs w:val="18"/>
              </w:rPr>
            </w:pPr>
          </w:p>
        </w:tc>
      </w:tr>
      <w:permEnd w:id="15"/>
      <w:tr w14:paraId="68982C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0A892C53">
            <w:pPr>
              <w:pStyle w:val="5"/>
              <w:pBdr>
                <w:bottom w:val="none" w:color="auto" w:sz="0" w:space="0"/>
              </w:pBdr>
              <w:spacing w:line="320" w:lineRule="exact"/>
              <w:rPr>
                <w:rFonts w:ascii="宋体" w:hAnsi="宋体"/>
                <w:b/>
                <w:bCs/>
                <w:sz w:val="28"/>
                <w:szCs w:val="28"/>
              </w:rPr>
            </w:pPr>
          </w:p>
        </w:tc>
      </w:tr>
      <w:tr w14:paraId="122BB3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vMerge w:val="restart"/>
            <w:shd w:val="solid" w:color="FFFFFF" w:fill="FFFFFF"/>
            <w:vAlign w:val="center"/>
          </w:tcPr>
          <w:p w14:paraId="1496CE55">
            <w:pPr>
              <w:spacing w:line="320" w:lineRule="exact"/>
              <w:jc w:val="left"/>
              <w:rPr>
                <w:rFonts w:ascii="宋体" w:hAnsi="宋体"/>
                <w:b/>
                <w:bCs/>
                <w:sz w:val="18"/>
                <w:szCs w:val="18"/>
              </w:rPr>
            </w:pPr>
            <w:r>
              <w:rPr>
                <w:rFonts w:hint="eastAsia" w:ascii="宋体" w:hAnsi="宋体"/>
                <w:b/>
                <w:bCs/>
                <w:sz w:val="18"/>
                <w:szCs w:val="18"/>
              </w:rPr>
              <w:t>销售</w:t>
            </w:r>
            <w:r>
              <w:rPr>
                <w:rFonts w:ascii="宋体" w:hAnsi="宋体"/>
                <w:b/>
                <w:bCs/>
                <w:sz w:val="18"/>
                <w:szCs w:val="18"/>
              </w:rPr>
              <w:t>机构信息</w:t>
            </w:r>
          </w:p>
        </w:tc>
        <w:tc>
          <w:tcPr>
            <w:tcW w:w="1720" w:type="dxa"/>
            <w:gridSpan w:val="2"/>
            <w:shd w:val="solid" w:color="FFFFFF" w:fill="FFFFFF"/>
            <w:vAlign w:val="center"/>
          </w:tcPr>
          <w:p w14:paraId="272AD62B">
            <w:pPr>
              <w:spacing w:line="320" w:lineRule="exact"/>
              <w:jc w:val="left"/>
              <w:rPr>
                <w:rFonts w:ascii="宋体" w:hAnsi="宋体"/>
                <w:bCs/>
                <w:sz w:val="18"/>
                <w:szCs w:val="18"/>
              </w:rPr>
            </w:pPr>
            <w:r>
              <w:rPr>
                <w:rFonts w:hint="eastAsia" w:hAnsi="宋体"/>
                <w:sz w:val="18"/>
                <w:szCs w:val="18"/>
              </w:rPr>
              <w:t>★</w:t>
            </w:r>
            <w:r>
              <w:rPr>
                <w:rFonts w:hint="eastAsia" w:ascii="宋体" w:hAnsi="宋体"/>
                <w:bCs/>
                <w:sz w:val="18"/>
                <w:szCs w:val="18"/>
              </w:rPr>
              <w:t>销售性质</w:t>
            </w:r>
          </w:p>
        </w:tc>
        <w:tc>
          <w:tcPr>
            <w:tcW w:w="5061" w:type="dxa"/>
            <w:gridSpan w:val="3"/>
            <w:shd w:val="solid" w:color="FFFFFF" w:fill="FFFFFF"/>
            <w:vAlign w:val="center"/>
          </w:tcPr>
          <w:p w14:paraId="1CE638BF">
            <w:pPr>
              <w:spacing w:line="320" w:lineRule="exact"/>
              <w:jc w:val="left"/>
              <w:rPr>
                <w:rFonts w:asciiTheme="majorEastAsia" w:hAnsiTheme="majorEastAsia" w:eastAsiaTheme="majorEastAsia"/>
                <w:bCs/>
                <w:sz w:val="18"/>
                <w:szCs w:val="18"/>
              </w:rPr>
            </w:pPr>
            <w:permStart w:id="16" w:edGrp="everyone"/>
            <w:r>
              <w:rPr>
                <w:rFonts w:hint="eastAsia" w:asciiTheme="majorEastAsia" w:hAnsiTheme="majorEastAsia" w:eastAsiaTheme="majorEastAsia"/>
                <w:bCs/>
                <w:sz w:val="18"/>
                <w:szCs w:val="18"/>
              </w:rPr>
              <w:t>□ 直销：产品管理人销售</w:t>
            </w:r>
          </w:p>
          <w:p w14:paraId="2EB61F0F">
            <w:pPr>
              <w:spacing w:line="320" w:lineRule="exact"/>
              <w:jc w:val="left"/>
              <w:rPr>
                <w:rFonts w:ascii="宋体" w:hAnsi="宋体"/>
                <w:bCs/>
                <w:sz w:val="18"/>
                <w:szCs w:val="18"/>
              </w:rPr>
            </w:pPr>
            <w:r>
              <w:rPr>
                <w:rFonts w:hint="eastAsia" w:asciiTheme="majorEastAsia" w:hAnsiTheme="majorEastAsia" w:eastAsiaTheme="majorEastAsia"/>
                <w:bCs/>
                <w:sz w:val="18"/>
                <w:szCs w:val="18"/>
              </w:rPr>
              <w:t>■ 代销：代理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销售</w:t>
            </w:r>
            <w:permEnd w:id="16"/>
          </w:p>
        </w:tc>
      </w:tr>
      <w:tr w14:paraId="4315E59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817" w:type="dxa"/>
            <w:vMerge w:val="continue"/>
            <w:shd w:val="solid" w:color="FFFFFF" w:fill="FFFFFF"/>
            <w:vAlign w:val="center"/>
          </w:tcPr>
          <w:p w14:paraId="4075A18B">
            <w:pPr>
              <w:spacing w:line="320" w:lineRule="exact"/>
              <w:jc w:val="left"/>
              <w:rPr>
                <w:rFonts w:ascii="宋体" w:hAnsi="宋体"/>
                <w:b/>
                <w:bCs/>
                <w:sz w:val="18"/>
                <w:szCs w:val="18"/>
              </w:rPr>
            </w:pPr>
          </w:p>
        </w:tc>
        <w:tc>
          <w:tcPr>
            <w:tcW w:w="1720" w:type="dxa"/>
            <w:gridSpan w:val="2"/>
            <w:shd w:val="solid" w:color="FFFFFF" w:fill="FFFFFF"/>
            <w:vAlign w:val="center"/>
          </w:tcPr>
          <w:p w14:paraId="51D8642E">
            <w:pPr>
              <w:spacing w:line="320" w:lineRule="exact"/>
              <w:jc w:val="left"/>
              <w:rPr>
                <w:rFonts w:ascii="宋体" w:hAnsi="宋体"/>
                <w:bCs/>
                <w:sz w:val="18"/>
                <w:szCs w:val="18"/>
              </w:rPr>
            </w:pPr>
            <w:r>
              <w:rPr>
                <w:rFonts w:hint="eastAsia" w:ascii="宋体" w:hAnsi="宋体"/>
                <w:bCs/>
                <w:sz w:val="18"/>
                <w:szCs w:val="18"/>
              </w:rPr>
              <w:t>机构名称</w:t>
            </w:r>
          </w:p>
        </w:tc>
        <w:tc>
          <w:tcPr>
            <w:tcW w:w="5061" w:type="dxa"/>
            <w:gridSpan w:val="3"/>
            <w:shd w:val="solid" w:color="FFFFFF" w:fill="FFFFFF"/>
            <w:vAlign w:val="center"/>
          </w:tcPr>
          <w:p w14:paraId="07A7FC37">
            <w:pPr>
              <w:spacing w:line="320" w:lineRule="exact"/>
              <w:jc w:val="left"/>
              <w:rPr>
                <w:rFonts w:ascii="宋体" w:hAnsi="宋体"/>
                <w:bCs/>
                <w:sz w:val="18"/>
                <w:szCs w:val="18"/>
              </w:rPr>
            </w:pPr>
            <w:permStart w:id="17" w:edGrp="everyone"/>
            <w:r>
              <w:rPr>
                <w:rFonts w:hint="eastAsia" w:ascii="宋体" w:hAnsi="宋体"/>
                <w:bCs/>
                <w:sz w:val="18"/>
                <w:szCs w:val="18"/>
              </w:rPr>
              <w:t>【】</w:t>
            </w:r>
            <w:permEnd w:id="17"/>
          </w:p>
        </w:tc>
      </w:tr>
      <w:tr w14:paraId="05489A9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817" w:type="dxa"/>
            <w:vMerge w:val="continue"/>
            <w:tcBorders>
              <w:bottom w:val="single" w:color="auto" w:sz="12" w:space="0"/>
            </w:tcBorders>
            <w:shd w:val="solid" w:color="FFFFFF" w:fill="FFFFFF"/>
            <w:vAlign w:val="center"/>
          </w:tcPr>
          <w:p w14:paraId="0BD9C3FB">
            <w:pPr>
              <w:spacing w:line="320" w:lineRule="exact"/>
              <w:jc w:val="left"/>
              <w:rPr>
                <w:rFonts w:ascii="宋体" w:hAnsi="宋体"/>
                <w:b/>
                <w:bCs/>
                <w:sz w:val="18"/>
                <w:szCs w:val="18"/>
              </w:rPr>
            </w:pPr>
          </w:p>
        </w:tc>
        <w:tc>
          <w:tcPr>
            <w:tcW w:w="1720" w:type="dxa"/>
            <w:gridSpan w:val="2"/>
            <w:tcBorders>
              <w:bottom w:val="single" w:color="auto" w:sz="12" w:space="0"/>
            </w:tcBorders>
            <w:shd w:val="solid" w:color="FFFFFF" w:fill="FFFFFF"/>
            <w:vAlign w:val="center"/>
          </w:tcPr>
          <w:p w14:paraId="15F63B51">
            <w:pPr>
              <w:spacing w:line="320" w:lineRule="exact"/>
              <w:jc w:val="left"/>
              <w:rPr>
                <w:rFonts w:ascii="宋体" w:hAnsi="宋体"/>
                <w:bCs/>
                <w:sz w:val="18"/>
                <w:szCs w:val="18"/>
              </w:rPr>
            </w:pPr>
            <w:r>
              <w:rPr>
                <w:rFonts w:hint="eastAsia" w:ascii="宋体" w:hAnsi="宋体"/>
                <w:bCs/>
                <w:sz w:val="18"/>
                <w:szCs w:val="18"/>
              </w:rPr>
              <w:t>机构简介</w:t>
            </w:r>
          </w:p>
        </w:tc>
        <w:tc>
          <w:tcPr>
            <w:tcW w:w="5061" w:type="dxa"/>
            <w:gridSpan w:val="3"/>
            <w:tcBorders>
              <w:bottom w:val="single" w:color="auto" w:sz="12" w:space="0"/>
            </w:tcBorders>
            <w:shd w:val="solid" w:color="FFFFFF" w:fill="FFFFFF"/>
            <w:vAlign w:val="center"/>
          </w:tcPr>
          <w:p w14:paraId="31B46FEC">
            <w:pPr>
              <w:pStyle w:val="15"/>
              <w:jc w:val="both"/>
            </w:pPr>
            <w:permStart w:id="18" w:edGrp="everyone"/>
            <w:r>
              <w:rPr>
                <w:rFonts w:hint="eastAsia" w:asciiTheme="majorEastAsia" w:hAnsiTheme="majorEastAsia" w:eastAsiaTheme="majorEastAsia"/>
                <w:bCs/>
                <w:sz w:val="18"/>
                <w:szCs w:val="18"/>
              </w:rPr>
              <w:t>【】</w:t>
            </w:r>
            <w:permEnd w:id="18"/>
          </w:p>
        </w:tc>
      </w:tr>
      <w:tr w14:paraId="59D1780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7598" w:type="dxa"/>
            <w:gridSpan w:val="6"/>
            <w:shd w:val="pct10" w:color="FFFFFF" w:fill="A5A5A5" w:themeFill="background1" w:themeFillShade="A6"/>
            <w:vAlign w:val="center"/>
          </w:tcPr>
          <w:p w14:paraId="2850D4D6">
            <w:pPr>
              <w:spacing w:line="320" w:lineRule="exact"/>
              <w:jc w:val="left"/>
              <w:rPr>
                <w:rFonts w:ascii="宋体" w:hAnsi="宋体"/>
                <w:bCs/>
                <w:sz w:val="18"/>
                <w:szCs w:val="18"/>
              </w:rPr>
            </w:pPr>
          </w:p>
        </w:tc>
      </w:tr>
      <w:tr w14:paraId="3D006F7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2" w:hRule="atLeast"/>
          <w:jc w:val="center"/>
        </w:trPr>
        <w:tc>
          <w:tcPr>
            <w:tcW w:w="817" w:type="dxa"/>
            <w:shd w:val="solid" w:color="FFFFFF" w:fill="FFFFFF"/>
            <w:vAlign w:val="center"/>
          </w:tcPr>
          <w:p w14:paraId="16ED8102">
            <w:pPr>
              <w:pStyle w:val="5"/>
              <w:pBdr>
                <w:bottom w:val="none" w:color="auto" w:sz="0" w:space="0"/>
              </w:pBdr>
              <w:tabs>
                <w:tab w:val="clear" w:pos="4153"/>
                <w:tab w:val="clear" w:pos="8306"/>
              </w:tabs>
              <w:snapToGrid/>
              <w:spacing w:line="320" w:lineRule="exact"/>
              <w:rPr>
                <w:rFonts w:ascii="宋体" w:hAnsi="宋体"/>
                <w:b/>
              </w:rPr>
            </w:pPr>
            <w:r>
              <w:rPr>
                <w:rFonts w:hint="eastAsia" w:ascii="宋体" w:hAnsi="宋体"/>
                <w:b/>
              </w:rPr>
              <w:t>理财产品指定账户信息</w:t>
            </w:r>
          </w:p>
        </w:tc>
        <w:tc>
          <w:tcPr>
            <w:tcW w:w="6781" w:type="dxa"/>
            <w:gridSpan w:val="5"/>
            <w:shd w:val="solid" w:color="FFFFFF" w:fill="FFFFFF"/>
            <w:vAlign w:val="center"/>
          </w:tcPr>
          <w:p w14:paraId="08993263">
            <w:pPr>
              <w:pStyle w:val="5"/>
              <w:pBdr>
                <w:bottom w:val="none" w:color="auto" w:sz="0" w:space="0"/>
              </w:pBdr>
              <w:tabs>
                <w:tab w:val="clear" w:pos="4153"/>
                <w:tab w:val="clear" w:pos="8306"/>
              </w:tabs>
              <w:snapToGrid/>
              <w:spacing w:line="320" w:lineRule="exact"/>
              <w:jc w:val="left"/>
              <w:rPr>
                <w:rFonts w:ascii="宋体" w:hAnsi="宋体"/>
                <w:b/>
              </w:rPr>
            </w:pPr>
            <w:r>
              <w:rPr>
                <w:rFonts w:hint="eastAsia" w:ascii="宋体" w:hAnsi="宋体"/>
              </w:rPr>
              <w:t>投资者</w:t>
            </w:r>
            <w:r>
              <w:rPr>
                <w:rFonts w:ascii="宋体" w:hAnsi="宋体"/>
              </w:rPr>
              <w:t>在销售机构开立</w:t>
            </w:r>
            <w:r>
              <w:rPr>
                <w:rFonts w:hint="eastAsia" w:ascii="宋体" w:hAnsi="宋体"/>
              </w:rPr>
              <w:t>理财卡结算账户</w:t>
            </w:r>
            <w:r>
              <w:rPr>
                <w:rFonts w:hint="eastAsia" w:ascii="宋体" w:hAnsi="宋体"/>
                <w:spacing w:val="-6"/>
              </w:rPr>
              <w:t>或存折结算账户（</w:t>
            </w:r>
            <w:r>
              <w:rPr>
                <w:rFonts w:hint="eastAsia" w:ascii="宋体" w:hAnsi="宋体"/>
              </w:rPr>
              <w:t>以下简称“指定账户”），</w:t>
            </w:r>
            <w:r>
              <w:rPr>
                <w:rFonts w:ascii="宋体" w:hAnsi="宋体"/>
              </w:rPr>
              <w:t>用于</w:t>
            </w:r>
            <w:r>
              <w:rPr>
                <w:rFonts w:hint="eastAsia" w:ascii="宋体" w:hAnsi="宋体"/>
              </w:rPr>
              <w:t>本产品的</w:t>
            </w:r>
            <w:r>
              <w:rPr>
                <w:rFonts w:ascii="宋体" w:hAnsi="宋体"/>
              </w:rPr>
              <w:t>资金划转及</w:t>
            </w:r>
            <w:r>
              <w:rPr>
                <w:rFonts w:hint="eastAsia" w:ascii="宋体" w:hAnsi="宋体"/>
              </w:rPr>
              <w:t>产品分配，账号：</w:t>
            </w:r>
            <w:permStart w:id="19" w:edGrp="everyone"/>
            <w:r>
              <w:rPr>
                <w:rFonts w:ascii="宋体" w:hAnsi="宋体"/>
                <w:u w:val="single"/>
              </w:rPr>
              <w:t xml:space="preserve">　                     </w:t>
            </w:r>
            <w:permEnd w:id="19"/>
            <w:r>
              <w:rPr>
                <w:rFonts w:hint="eastAsia" w:ascii="宋体" w:hAnsi="宋体"/>
              </w:rPr>
              <w:t>。</w:t>
            </w:r>
          </w:p>
        </w:tc>
      </w:tr>
    </w:tbl>
    <w:p w14:paraId="60919141">
      <w:pPr>
        <w:tabs>
          <w:tab w:val="left" w:pos="8070"/>
          <w:tab w:val="right" w:pos="8306"/>
        </w:tabs>
        <w:autoSpaceDE w:val="0"/>
        <w:autoSpaceDN w:val="0"/>
        <w:adjustRightInd w:val="0"/>
        <w:snapToGrid w:val="0"/>
        <w:spacing w:line="280" w:lineRule="exact"/>
        <w:rPr>
          <w:rFonts w:ascii="宋体" w:hAnsi="宋体" w:cs="仿宋_GB2312"/>
          <w:b/>
          <w:kern w:val="0"/>
          <w:sz w:val="18"/>
          <w:szCs w:val="18"/>
        </w:rPr>
      </w:pPr>
    </w:p>
    <w:p w14:paraId="26DD1A89">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ascii="宋体" w:hAnsi="宋体" w:cs="仿宋_GB2312"/>
          <w:b/>
          <w:kern w:val="0"/>
          <w:sz w:val="18"/>
          <w:szCs w:val="18"/>
        </w:rPr>
        <w:br w:type="page"/>
      </w:r>
      <w:r>
        <w:rPr>
          <w:rFonts w:hint="eastAsia" w:ascii="宋体" w:hAnsi="宋体" w:cs="仿宋_GB2312"/>
          <w:b/>
          <w:kern w:val="0"/>
          <w:sz w:val="18"/>
          <w:szCs w:val="18"/>
        </w:rPr>
        <w:t>尊敬的投资者：</w:t>
      </w:r>
    </w:p>
    <w:p w14:paraId="012004AE">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甲方(即“投资者”)自愿从乙方</w:t>
      </w:r>
      <w:r>
        <w:rPr>
          <w:rFonts w:ascii="宋体" w:hAnsi="宋体" w:cs="仿宋_GB2312"/>
          <w:kern w:val="0"/>
          <w:sz w:val="18"/>
          <w:szCs w:val="18"/>
        </w:rPr>
        <w:t>（</w:t>
      </w:r>
      <w:r>
        <w:rPr>
          <w:rFonts w:hint="eastAsia" w:ascii="宋体" w:hAnsi="宋体" w:cs="仿宋_GB2312"/>
          <w:kern w:val="0"/>
          <w:sz w:val="18"/>
          <w:szCs w:val="18"/>
        </w:rPr>
        <w:t>即“</w:t>
      </w:r>
      <w:r>
        <w:rPr>
          <w:rFonts w:ascii="宋体" w:hAnsi="宋体" w:cs="仿宋_GB2312"/>
          <w:kern w:val="0"/>
          <w:sz w:val="18"/>
          <w:szCs w:val="18"/>
        </w:rPr>
        <w:t>销售机构</w:t>
      </w:r>
      <w:r>
        <w:rPr>
          <w:rFonts w:hint="eastAsia" w:ascii="宋体" w:hAnsi="宋体" w:cs="仿宋_GB2312"/>
          <w:kern w:val="0"/>
          <w:sz w:val="18"/>
          <w:szCs w:val="18"/>
        </w:rPr>
        <w:t>”</w:t>
      </w:r>
      <w:r>
        <w:rPr>
          <w:rFonts w:ascii="宋体" w:hAnsi="宋体" w:cs="仿宋_GB2312"/>
          <w:kern w:val="0"/>
          <w:sz w:val="18"/>
          <w:szCs w:val="18"/>
        </w:rPr>
        <w:t>）</w:t>
      </w:r>
      <w:r>
        <w:rPr>
          <w:rFonts w:hint="eastAsia" w:ascii="宋体" w:hAnsi="宋体" w:cs="仿宋_GB2312"/>
          <w:kern w:val="0"/>
          <w:sz w:val="18"/>
          <w:szCs w:val="18"/>
        </w:rPr>
        <w:t>购买兴银理财</w:t>
      </w:r>
      <w:r>
        <w:rPr>
          <w:rFonts w:ascii="宋体" w:hAnsi="宋体" w:cs="仿宋_GB2312"/>
          <w:kern w:val="0"/>
          <w:sz w:val="18"/>
          <w:szCs w:val="18"/>
        </w:rPr>
        <w:t>有限责任公司</w:t>
      </w:r>
      <w:r>
        <w:rPr>
          <w:rFonts w:hint="eastAsia" w:ascii="宋体" w:hAnsi="宋体" w:cs="仿宋_GB2312"/>
          <w:kern w:val="0"/>
          <w:sz w:val="18"/>
          <w:szCs w:val="18"/>
        </w:rPr>
        <w:t>（即</w:t>
      </w:r>
      <w:r>
        <w:rPr>
          <w:rFonts w:ascii="宋体" w:hAnsi="宋体" w:cs="仿宋_GB2312"/>
          <w:kern w:val="0"/>
          <w:sz w:val="18"/>
          <w:szCs w:val="18"/>
        </w:rPr>
        <w:t>“</w:t>
      </w:r>
      <w:r>
        <w:rPr>
          <w:rFonts w:hint="eastAsia" w:ascii="宋体" w:hAnsi="宋体" w:cs="仿宋_GB2312"/>
          <w:kern w:val="0"/>
          <w:sz w:val="18"/>
          <w:szCs w:val="18"/>
        </w:rPr>
        <w:t>产品</w:t>
      </w:r>
      <w:r>
        <w:rPr>
          <w:rFonts w:ascii="宋体" w:hAnsi="宋体" w:cs="仿宋_GB2312"/>
          <w:kern w:val="0"/>
          <w:sz w:val="18"/>
          <w:szCs w:val="18"/>
        </w:rPr>
        <w:t>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甲乙双方经友好协商，本着平等自愿、诚实信用的原则，达成协议如下：</w:t>
      </w:r>
    </w:p>
    <w:p w14:paraId="49F04880">
      <w:pPr>
        <w:tabs>
          <w:tab w:val="left" w:pos="8070"/>
          <w:tab w:val="right" w:pos="8306"/>
        </w:tabs>
        <w:autoSpaceDE w:val="0"/>
        <w:autoSpaceDN w:val="0"/>
        <w:adjustRightInd w:val="0"/>
        <w:snapToGrid w:val="0"/>
        <w:spacing w:line="360" w:lineRule="auto"/>
        <w:ind w:firstLine="361" w:firstLineChars="200"/>
        <w:rPr>
          <w:rFonts w:ascii="宋体" w:hAnsi="宋体" w:cs="仿宋_GB2312"/>
          <w:b/>
          <w:kern w:val="0"/>
          <w:sz w:val="18"/>
          <w:szCs w:val="18"/>
        </w:rPr>
      </w:pPr>
    </w:p>
    <w:p w14:paraId="49A9086F">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第一条 重要提示</w:t>
      </w:r>
    </w:p>
    <w:p w14:paraId="799179FF">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乙方销售性质</w:t>
      </w:r>
    </w:p>
    <w:p w14:paraId="3C39B829">
      <w:pPr>
        <w:widowControl/>
        <w:spacing w:line="360" w:lineRule="auto"/>
        <w:jc w:val="left"/>
        <w:rPr>
          <w:rFonts w:ascii="黑体" w:hAnsi="黑体" w:eastAsia="黑体" w:cs="仿宋_GB2312"/>
          <w:kern w:val="0"/>
          <w:sz w:val="18"/>
          <w:szCs w:val="18"/>
        </w:rPr>
      </w:pPr>
      <w:permStart w:id="20"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直销适用</w:t>
      </w:r>
    </w:p>
    <w:permEnd w:id="20"/>
    <w:p w14:paraId="1E3EEAE3">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既作为理财产品的销售机构，又是理财产品管理人，对理财产品的业绩不承担任何保证和其他经济责任。乙方受理的销售理财产品业务申请，以产品管理人的最终确认结果为准。</w:t>
      </w:r>
    </w:p>
    <w:p w14:paraId="4461009E">
      <w:pPr>
        <w:widowControl/>
        <w:spacing w:line="360" w:lineRule="auto"/>
        <w:jc w:val="left"/>
        <w:rPr>
          <w:rFonts w:ascii="黑体" w:hAnsi="黑体" w:eastAsia="黑体" w:cs="仿宋_GB2312"/>
          <w:kern w:val="0"/>
          <w:sz w:val="18"/>
          <w:szCs w:val="18"/>
        </w:rPr>
      </w:pPr>
      <w:permStart w:id="21" w:edGrp="everyone"/>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cs="仿宋_GB2312"/>
          <w:kern w:val="0"/>
          <w:sz w:val="18"/>
          <w:szCs w:val="18"/>
        </w:rPr>
        <w:t>代销适用</w:t>
      </w:r>
    </w:p>
    <w:permEnd w:id="21"/>
    <w:p w14:paraId="5797C074">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本理财产品由兴银理财有限责任公司发行与管理，乙方仅作为理财产品的代理销售机构，非理财产品管理人，对理财产品的业绩不承担任何保证和其他经济责任，不承担理财产品的投资和兑付责任。乙方受理的销售理财产品业务申请，以产品管理人的最终确认结果为准。</w:t>
      </w:r>
    </w:p>
    <w:p w14:paraId="63D4972D">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2.本理财产品可能面临信用风险、市场风险、流动性风险等风险因素，具体详见《风险揭示书》。甲方在签署本协议前，应当详细阅读《投资</w:t>
      </w:r>
      <w:r>
        <w:rPr>
          <w:rFonts w:ascii="宋体" w:hAnsi="宋体" w:cs="仿宋_GB2312"/>
          <w:kern w:val="0"/>
          <w:sz w:val="18"/>
          <w:szCs w:val="18"/>
        </w:rPr>
        <w:t>协议书</w:t>
      </w:r>
      <w:r>
        <w:rPr>
          <w:rFonts w:hint="eastAsia" w:ascii="宋体" w:hAnsi="宋体" w:cs="仿宋_GB2312"/>
          <w:kern w:val="0"/>
          <w:sz w:val="18"/>
          <w:szCs w:val="18"/>
        </w:rPr>
        <w:t>》《产品说明书》《（代理）销售</w:t>
      </w:r>
      <w:r>
        <w:rPr>
          <w:rFonts w:ascii="宋体" w:hAnsi="宋体" w:cs="仿宋_GB2312"/>
          <w:kern w:val="0"/>
          <w:sz w:val="18"/>
          <w:szCs w:val="18"/>
        </w:rPr>
        <w:t>协议书</w:t>
      </w:r>
      <w:r>
        <w:rPr>
          <w:rFonts w:hint="eastAsia" w:ascii="宋体" w:hAnsi="宋体" w:cs="仿宋_GB2312"/>
          <w:kern w:val="0"/>
          <w:sz w:val="18"/>
          <w:szCs w:val="18"/>
        </w:rPr>
        <w:t>》《风险揭示书》《投资者权益须知》等完整</w:t>
      </w:r>
      <w:r>
        <w:rPr>
          <w:rFonts w:ascii="宋体" w:hAnsi="宋体" w:cs="仿宋_GB2312"/>
          <w:kern w:val="0"/>
          <w:sz w:val="18"/>
          <w:szCs w:val="18"/>
        </w:rPr>
        <w:t>的</w:t>
      </w:r>
      <w:r>
        <w:rPr>
          <w:rFonts w:hint="eastAsia" w:ascii="宋体" w:hAnsi="宋体" w:cs="仿宋_GB2312"/>
          <w:kern w:val="0"/>
          <w:sz w:val="18"/>
          <w:szCs w:val="18"/>
        </w:rPr>
        <w:t>理财产品销售文件，并充分了解投资者的全部权利与义务以及理财产品的全部风险。</w:t>
      </w:r>
    </w:p>
    <w:p w14:paraId="6A8592A9">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3.根据理财产品投资范围、风险收益特点、流动性等不同因素，乙方作为</w:t>
      </w:r>
      <w:r>
        <w:rPr>
          <w:rFonts w:ascii="宋体" w:hAnsi="宋体" w:cs="仿宋_GB2312"/>
          <w:kern w:val="0"/>
          <w:sz w:val="18"/>
          <w:szCs w:val="18"/>
        </w:rPr>
        <w:t>销售机构</w:t>
      </w:r>
      <w:r>
        <w:rPr>
          <w:rFonts w:hint="eastAsia" w:ascii="宋体" w:hAnsi="宋体" w:cs="仿宋_GB2312"/>
          <w:kern w:val="0"/>
          <w:sz w:val="18"/>
          <w:szCs w:val="18"/>
        </w:rPr>
        <w:t>将理财产品分为</w:t>
      </w:r>
      <w:permStart w:id="22" w:edGrp="everyone"/>
      <w:r>
        <w:rPr>
          <w:rFonts w:hint="eastAsia" w:ascii="宋体" w:hAnsi="宋体" w:cs="仿宋_GB2312"/>
          <w:kern w:val="0"/>
          <w:sz w:val="18"/>
          <w:szCs w:val="18"/>
        </w:rPr>
        <w:t>【】</w:t>
      </w:r>
      <w:permEnd w:id="22"/>
      <w:r>
        <w:rPr>
          <w:rFonts w:hint="eastAsia" w:ascii="宋体" w:hAnsi="宋体" w:cs="仿宋_GB2312"/>
          <w:kern w:val="0"/>
          <w:sz w:val="18"/>
          <w:szCs w:val="18"/>
        </w:rPr>
        <w:t>个风险等级</w:t>
      </w:r>
      <w:r>
        <w:rPr>
          <w:rFonts w:ascii="宋体" w:hAnsi="宋体" w:cs="仿宋_GB2312"/>
          <w:kern w:val="0"/>
          <w:sz w:val="18"/>
          <w:szCs w:val="18"/>
        </w:rPr>
        <w:t>：</w:t>
      </w:r>
      <w:permStart w:id="23" w:edGrp="everyone"/>
      <w:r>
        <w:rPr>
          <w:rFonts w:hint="eastAsia" w:ascii="宋体" w:hAnsi="宋体" w:cs="仿宋_GB2312"/>
          <w:kern w:val="0"/>
          <w:sz w:val="18"/>
          <w:szCs w:val="18"/>
        </w:rPr>
        <w:t>【】</w:t>
      </w:r>
      <w:permEnd w:id="23"/>
      <w:r>
        <w:rPr>
          <w:rFonts w:hint="eastAsia" w:ascii="宋体" w:hAnsi="宋体" w:cs="仿宋_GB2312"/>
          <w:kern w:val="0"/>
          <w:sz w:val="18"/>
          <w:szCs w:val="18"/>
        </w:rPr>
        <w:t>；根据投资者在乙方评估的风险承受能力，</w:t>
      </w:r>
      <w:r>
        <w:rPr>
          <w:rFonts w:ascii="宋体" w:hAnsi="宋体" w:cs="仿宋_GB2312"/>
          <w:kern w:val="0"/>
          <w:sz w:val="18"/>
          <w:szCs w:val="18"/>
        </w:rPr>
        <w:t>乙方将投资者风险承受能力分为若干</w:t>
      </w:r>
      <w:r>
        <w:rPr>
          <w:rFonts w:hint="eastAsia" w:ascii="宋体" w:hAnsi="宋体" w:cs="仿宋_GB2312"/>
          <w:kern w:val="0"/>
          <w:sz w:val="18"/>
          <w:szCs w:val="18"/>
        </w:rPr>
        <w:t>等级。</w:t>
      </w:r>
    </w:p>
    <w:p w14:paraId="00D75D50">
      <w:pPr>
        <w:widowControl/>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风险等级为产品管理人和销售机构经过审慎评估后确定的产品风险等级。若本产品通过代理销售机构销售的，理财产品评级以代理销售机构最终披露的评级结果为准。产品管理人和代理销售机构对理财产品的风险等级评估结果不一致时，代理</w:t>
      </w:r>
      <w:r>
        <w:rPr>
          <w:rFonts w:asciiTheme="majorEastAsia" w:hAnsiTheme="majorEastAsia" w:eastAsiaTheme="majorEastAsia"/>
          <w:bCs/>
          <w:sz w:val="18"/>
          <w:szCs w:val="18"/>
        </w:rPr>
        <w:t>销售机构</w:t>
      </w:r>
      <w:r>
        <w:rPr>
          <w:rFonts w:hint="eastAsia" w:asciiTheme="majorEastAsia" w:hAnsiTheme="majorEastAsia" w:eastAsiaTheme="majorEastAsia"/>
          <w:bCs/>
          <w:sz w:val="18"/>
          <w:szCs w:val="18"/>
        </w:rPr>
        <w:t>应采用对应较高风险的评级结果。</w:t>
      </w:r>
    </w:p>
    <w:p w14:paraId="16CD95D8">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（2）投资者风险承受能力等级为销售机构对投资者的风险承受能力进行评价的结果。</w:t>
      </w:r>
    </w:p>
    <w:p w14:paraId="4D17DD8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1）销售机构在销售本产品时，其对投资者风险承受能力等级的划分与表述可能与产品管理人存在差异，即采用销售机构设置的标准。</w:t>
      </w:r>
    </w:p>
    <w:p w14:paraId="7086F2C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2）销售机构应以书面的方式向投资者明示其对投资者风险承受能力等级的划分与“适合投资者类型”的表述。</w:t>
      </w:r>
    </w:p>
    <w:p w14:paraId="6F80C521">
      <w:pPr>
        <w:pStyle w:val="15"/>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（3）</w:t>
      </w:r>
      <w:r>
        <w:rPr>
          <w:rFonts w:hint="eastAsia" w:hAnsi="宋体" w:cs="仿宋_GB2312"/>
          <w:sz w:val="18"/>
          <w:szCs w:val="18"/>
        </w:rPr>
        <w:t>甲方应根据风险承受能力选择与其风险承受能力相匹配的风险等级的理财产品，不得购买高于甲方风险承受能力的理财产品。</w:t>
      </w:r>
    </w:p>
    <w:p w14:paraId="67FC08E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4.投资者的风险承受能力评估要求</w:t>
      </w:r>
    </w:p>
    <w:p w14:paraId="3A44B584">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（1）甲方为</w:t>
      </w:r>
      <w:r>
        <w:rPr>
          <w:rFonts w:hint="eastAsia" w:ascii="宋体" w:hAnsi="宋体" w:cs="仿宋_GB2312"/>
          <w:kern w:val="0"/>
          <w:sz w:val="18"/>
          <w:szCs w:val="18"/>
          <w:lang w:val="en-US" w:eastAsia="zh-CN"/>
        </w:rPr>
        <w:t>普通</w:t>
      </w:r>
      <w:r>
        <w:rPr>
          <w:rFonts w:hint="eastAsia" w:ascii="宋体" w:hAnsi="宋体" w:cs="仿宋_GB2312"/>
          <w:kern w:val="0"/>
          <w:sz w:val="18"/>
          <w:szCs w:val="18"/>
        </w:rPr>
        <w:t>投资者时，甲方购买乙方</w:t>
      </w:r>
      <w:r>
        <w:rPr>
          <w:rFonts w:ascii="宋体" w:hAnsi="宋体" w:cs="仿宋_GB2312"/>
          <w:kern w:val="0"/>
          <w:sz w:val="18"/>
          <w:szCs w:val="18"/>
        </w:rPr>
        <w:t>销售</w:t>
      </w:r>
      <w:r>
        <w:rPr>
          <w:rFonts w:hint="eastAsia" w:ascii="宋体" w:hAnsi="宋体" w:cs="仿宋_GB2312"/>
          <w:kern w:val="0"/>
          <w:sz w:val="18"/>
          <w:szCs w:val="18"/>
        </w:rPr>
        <w:t>的理财产品前，需通过乙方的线下</w:t>
      </w:r>
      <w:r>
        <w:rPr>
          <w:rFonts w:ascii="宋体" w:hAnsi="宋体" w:cs="仿宋_GB2312"/>
          <w:kern w:val="0"/>
          <w:sz w:val="18"/>
          <w:szCs w:val="18"/>
        </w:rPr>
        <w:t>渠道或线上渠道</w:t>
      </w:r>
      <w:r>
        <w:rPr>
          <w:rFonts w:hint="eastAsia" w:ascii="宋体" w:hAnsi="宋体" w:cs="仿宋_GB2312"/>
          <w:kern w:val="0"/>
          <w:sz w:val="18"/>
          <w:szCs w:val="18"/>
        </w:rPr>
        <w:t>（网上银行、手机银行或可视柜台等）进行有效风险承受能力的评估。投资者风险承受能力评估结果的有效期为一年，若甲方的风险承受能力评估结果已超过有效期或者在评级结果有效期内发生了可能影响甲方自身风险承受能力的情形，甲方应重新进行风险承受能力评估。</w:t>
      </w:r>
    </w:p>
    <w:p w14:paraId="7991E43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w:t>
      </w:r>
      <w:r>
        <w:rPr>
          <w:rFonts w:hint="eastAsia" w:ascii="宋体" w:hAnsi="宋体" w:cs="仿宋_GB2312"/>
          <w:kern w:val="0"/>
          <w:sz w:val="18"/>
          <w:szCs w:val="18"/>
          <w:lang w:val="en-US" w:eastAsia="zh-CN"/>
        </w:rPr>
        <w:t>专业</w:t>
      </w:r>
      <w:r>
        <w:rPr>
          <w:rFonts w:hint="eastAsia" w:ascii="宋体" w:hAnsi="宋体" w:cs="仿宋_GB2312"/>
          <w:kern w:val="0"/>
          <w:sz w:val="18"/>
          <w:szCs w:val="18"/>
        </w:rPr>
        <w:t>投资者的风险承受能力评估按销售机构的以下销售政策执行：</w:t>
      </w:r>
    </w:p>
    <w:p w14:paraId="452BAF00">
      <w:pPr>
        <w:widowControl/>
        <w:spacing w:line="360" w:lineRule="auto"/>
        <w:jc w:val="left"/>
        <w:rPr>
          <w:rFonts w:asciiTheme="majorEastAsia" w:hAnsiTheme="majorEastAsia" w:eastAsiaTheme="majorEastAsia"/>
          <w:sz w:val="18"/>
          <w:szCs w:val="18"/>
        </w:rPr>
      </w:pPr>
      <w:permStart w:id="24" w:edGrp="everyone"/>
      <w:r>
        <w:rPr>
          <w:rFonts w:hint="eastAsia" w:ascii="黑体" w:hAnsi="黑体" w:eastAsia="黑体"/>
          <w:bCs/>
          <w:sz w:val="18"/>
          <w:szCs w:val="18"/>
        </w:rPr>
        <w:t>□</w:t>
      </w:r>
      <w:r>
        <w:rPr>
          <w:rFonts w:hint="eastAsia" w:asciiTheme="majorEastAsia" w:hAnsiTheme="majorEastAsia" w:eastAsiaTheme="majorEastAsia"/>
          <w:sz w:val="18"/>
          <w:szCs w:val="18"/>
        </w:rPr>
        <w:t xml:space="preserve"> </w:t>
      </w:r>
      <w:permEnd w:id="24"/>
      <w:r>
        <w:rPr>
          <w:rFonts w:hint="eastAsia" w:asciiTheme="majorEastAsia" w:hAnsiTheme="majorEastAsia" w:eastAsiaTheme="majorEastAsia"/>
          <w:sz w:val="18"/>
          <w:szCs w:val="18"/>
        </w:rPr>
        <w:t>参照本条第（1）款</w:t>
      </w:r>
      <w:r>
        <w:rPr>
          <w:rFonts w:hint="eastAsia" w:asciiTheme="majorEastAsia" w:hAnsiTheme="majorEastAsia" w:eastAsiaTheme="majorEastAsia"/>
          <w:sz w:val="18"/>
          <w:szCs w:val="18"/>
          <w:lang w:val="en-US" w:eastAsia="zh-CN"/>
        </w:rPr>
        <w:t>普通</w:t>
      </w:r>
      <w:r>
        <w:rPr>
          <w:rFonts w:hint="eastAsia" w:asciiTheme="majorEastAsia" w:hAnsiTheme="majorEastAsia" w:eastAsiaTheme="majorEastAsia"/>
          <w:sz w:val="18"/>
          <w:szCs w:val="18"/>
        </w:rPr>
        <w:t>投资者要求执行；</w:t>
      </w:r>
    </w:p>
    <w:p w14:paraId="414EAD52">
      <w:pPr>
        <w:widowControl/>
        <w:spacing w:line="360" w:lineRule="auto"/>
        <w:jc w:val="left"/>
        <w:rPr>
          <w:rFonts w:asciiTheme="majorEastAsia" w:hAnsiTheme="majorEastAsia" w:eastAsiaTheme="majorEastAsia"/>
          <w:sz w:val="18"/>
          <w:szCs w:val="18"/>
        </w:rPr>
      </w:pPr>
      <w:permStart w:id="25" w:edGrp="everyone"/>
      <w:r>
        <w:rPr>
          <w:rFonts w:hint="eastAsia" w:ascii="黑体" w:hAnsi="黑体" w:eastAsia="黑体"/>
          <w:bCs/>
          <w:sz w:val="18"/>
          <w:szCs w:val="18"/>
        </w:rPr>
        <w:t>□</w:t>
      </w:r>
      <w:r>
        <w:rPr>
          <w:rFonts w:hint="eastAsia" w:asciiTheme="majorEastAsia" w:hAnsiTheme="majorEastAsia" w:eastAsiaTheme="majorEastAsia"/>
          <w:sz w:val="18"/>
          <w:szCs w:val="18"/>
        </w:rPr>
        <w:t xml:space="preserve"> </w:t>
      </w:r>
      <w:permEnd w:id="25"/>
      <w:r>
        <w:rPr>
          <w:rFonts w:hint="eastAsia" w:asciiTheme="majorEastAsia" w:hAnsiTheme="majorEastAsia" w:eastAsiaTheme="majorEastAsia"/>
          <w:sz w:val="18"/>
          <w:szCs w:val="18"/>
        </w:rPr>
        <w:t>其他：</w:t>
      </w:r>
      <w:permStart w:id="26" w:edGrp="everyone"/>
      <w:r>
        <w:rPr>
          <w:rFonts w:hint="eastAsia" w:asciiTheme="majorEastAsia" w:hAnsiTheme="majorEastAsia" w:eastAsiaTheme="majorEastAsia"/>
          <w:sz w:val="18"/>
          <w:szCs w:val="18"/>
          <w:u w:val="single"/>
        </w:rPr>
        <w:t xml:space="preserve">                               。</w:t>
      </w:r>
      <w:permEnd w:id="26"/>
    </w:p>
    <w:p w14:paraId="28223F2F">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5.甲方保证投资资金来源合法且为本人</w:t>
      </w:r>
      <w:r>
        <w:rPr>
          <w:rFonts w:hint="eastAsia" w:ascii="宋体" w:hAnsi="宋体"/>
          <w:sz w:val="18"/>
          <w:szCs w:val="18"/>
        </w:rPr>
        <w:t>有权处分的合法资金</w:t>
      </w:r>
      <w:r>
        <w:rPr>
          <w:rFonts w:hint="eastAsia" w:ascii="宋体" w:hAnsi="宋体" w:cs="仿宋_GB2312"/>
          <w:kern w:val="0"/>
          <w:sz w:val="18"/>
          <w:szCs w:val="18"/>
        </w:rPr>
        <w:t>，不存在使用贷款、发行债券等筹集的非自有资金投资的情况，投资行为符合法律法规及相关监管部门的规定。</w:t>
      </w:r>
    </w:p>
    <w:p w14:paraId="3657074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6.甲方承诺所提供的所有资料真实、完整、合法、有效，如有变更，甲方应及时到乙方办理变更手续。若甲方未及时办理相关变更手续，由此导致的一切后果由甲方自行承担，乙方对此不承担任何责任。</w:t>
      </w:r>
    </w:p>
    <w:p w14:paraId="5E9AA79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7.在产品认购/申购期内，如因甲方原因导致投资本金不能从其账户足额划转的，甲方对相关理财产品的购买不成功，乙方对此不承担责任。</w:t>
      </w:r>
    </w:p>
    <w:p w14:paraId="1FA5F085">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8.甲方对理财产品</w:t>
      </w:r>
      <w:r>
        <w:rPr>
          <w:rFonts w:ascii="宋体" w:hAnsi="宋体" w:cs="仿宋_GB2312"/>
          <w:kern w:val="0"/>
          <w:sz w:val="18"/>
          <w:szCs w:val="18"/>
        </w:rPr>
        <w:t>销售业务资料</w:t>
      </w:r>
      <w:r>
        <w:rPr>
          <w:rFonts w:hint="eastAsia" w:ascii="宋体" w:hAnsi="宋体" w:cs="仿宋_GB2312"/>
          <w:kern w:val="0"/>
          <w:sz w:val="18"/>
          <w:szCs w:val="18"/>
        </w:rPr>
        <w:t>负有保密义务，未经乙方书面许可，甲方不得向任何组织、个人提供或泄露与乙方或</w:t>
      </w:r>
      <w:r>
        <w:rPr>
          <w:rFonts w:ascii="宋体" w:hAnsi="宋体" w:cs="仿宋_GB2312"/>
          <w:kern w:val="0"/>
          <w:sz w:val="18"/>
          <w:szCs w:val="18"/>
        </w:rPr>
        <w:t>产品管理人</w:t>
      </w:r>
      <w:r>
        <w:rPr>
          <w:rFonts w:hint="eastAsia" w:ascii="宋体" w:hAnsi="宋体" w:cs="仿宋_GB2312"/>
          <w:kern w:val="0"/>
          <w:sz w:val="18"/>
          <w:szCs w:val="18"/>
        </w:rPr>
        <w:t>有关的业务资料及信息，但本协议</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60E80214">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9</w:t>
      </w:r>
      <w:r>
        <w:rPr>
          <w:rFonts w:hint="eastAsia" w:ascii="黑体" w:hAnsi="黑体" w:eastAsia="黑体" w:cs="仿宋_GB2312"/>
          <w:kern w:val="0"/>
          <w:sz w:val="18"/>
          <w:szCs w:val="18"/>
        </w:rPr>
        <w:t>.</w:t>
      </w:r>
      <w:r>
        <w:rPr>
          <w:rFonts w:ascii="黑体" w:hAnsi="黑体" w:eastAsia="黑体" w:cs="仿宋_GB2312"/>
          <w:kern w:val="0"/>
          <w:sz w:val="18"/>
          <w:szCs w:val="18"/>
        </w:rPr>
        <w:t>甲方在此同意并授权乙方有权根据甲方</w:t>
      </w:r>
      <w:r>
        <w:rPr>
          <w:rFonts w:hint="eastAsia" w:ascii="黑体" w:hAnsi="黑体" w:eastAsia="黑体" w:cs="仿宋_GB2312"/>
          <w:kern w:val="0"/>
          <w:sz w:val="18"/>
          <w:szCs w:val="18"/>
        </w:rPr>
        <w:t>所勾选的业务申请类型对甲方相关资金账户进行资金划扣等相关操作。</w:t>
      </w:r>
    </w:p>
    <w:p w14:paraId="5C82A6A1">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10</w:t>
      </w:r>
      <w:r>
        <w:rPr>
          <w:rFonts w:hint="eastAsia" w:ascii="黑体" w:hAnsi="黑体" w:eastAsia="黑体" w:cs="仿宋_GB2312"/>
          <w:kern w:val="0"/>
          <w:sz w:val="18"/>
          <w:szCs w:val="18"/>
        </w:rPr>
        <w:t>.</w:t>
      </w:r>
      <w:r>
        <w:rPr>
          <w:rFonts w:ascii="黑体" w:hAnsi="黑体" w:eastAsia="黑体" w:cs="仿宋_GB2312"/>
          <w:kern w:val="0"/>
          <w:sz w:val="18"/>
          <w:szCs w:val="18"/>
        </w:rPr>
        <w:t>对于甲方通过乙方的网上银行、手机银行、可视柜台等线</w:t>
      </w:r>
      <w:r>
        <w:rPr>
          <w:rFonts w:hint="eastAsia" w:ascii="黑体" w:hAnsi="黑体" w:eastAsia="黑体" w:cs="仿宋_GB2312"/>
          <w:kern w:val="0"/>
          <w:sz w:val="18"/>
          <w:szCs w:val="18"/>
        </w:rPr>
        <w:t>上渠道购买的理财产品（不受限于本理财产品），甲方确认通过乙方线上渠道点击确认同意本协议，即表明甲方已自主阅读并清楚知悉本协议全部内容，同意受本协议约束。</w:t>
      </w:r>
    </w:p>
    <w:p w14:paraId="216B368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11</w:t>
      </w:r>
      <w:r>
        <w:rPr>
          <w:rFonts w:hint="eastAsia" w:ascii="黑体" w:hAnsi="黑体" w:eastAsia="黑体" w:cs="仿宋_GB2312"/>
          <w:kern w:val="0"/>
          <w:sz w:val="18"/>
          <w:szCs w:val="18"/>
        </w:rPr>
        <w:t>.</w:t>
      </w:r>
      <w:r>
        <w:rPr>
          <w:rFonts w:ascii="黑体" w:hAnsi="黑体" w:eastAsia="黑体" w:cs="仿宋_GB2312"/>
          <w:kern w:val="0"/>
          <w:sz w:val="18"/>
          <w:szCs w:val="18"/>
        </w:rPr>
        <w:t>甲方在此确认乙方业务申请和办理</w:t>
      </w:r>
      <w:r>
        <w:rPr>
          <w:rFonts w:hint="eastAsia" w:ascii="黑体" w:hAnsi="黑体" w:eastAsia="黑体" w:cs="仿宋_GB2312"/>
          <w:kern w:val="0"/>
          <w:sz w:val="18"/>
          <w:szCs w:val="18"/>
        </w:rPr>
        <w:t>的系统记录以及录音、录像等</w:t>
      </w:r>
      <w:r>
        <w:rPr>
          <w:rFonts w:ascii="黑体" w:hAnsi="黑体" w:eastAsia="黑体" w:cs="仿宋_GB2312"/>
          <w:kern w:val="0"/>
          <w:sz w:val="18"/>
          <w:szCs w:val="18"/>
        </w:rPr>
        <w:t>信息</w:t>
      </w:r>
      <w:r>
        <w:rPr>
          <w:rFonts w:hint="eastAsia" w:ascii="黑体" w:hAnsi="黑体" w:eastAsia="黑体" w:cs="仿宋_GB2312"/>
          <w:kern w:val="0"/>
          <w:sz w:val="18"/>
          <w:szCs w:val="18"/>
        </w:rPr>
        <w:t>构成对甲方操作行为（包括但不限于认购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、赎回）的终局证据，甲方同意乙方上述记录行为，并且在甲方和乙方或产品</w:t>
      </w:r>
      <w:r>
        <w:rPr>
          <w:rFonts w:ascii="黑体" w:hAnsi="黑体" w:eastAsia="黑体" w:cs="仿宋_GB2312"/>
          <w:kern w:val="0"/>
          <w:sz w:val="18"/>
          <w:szCs w:val="18"/>
        </w:rPr>
        <w:t>管理人</w:t>
      </w:r>
      <w:r>
        <w:rPr>
          <w:rFonts w:hint="eastAsia" w:ascii="黑体" w:hAnsi="黑体" w:eastAsia="黑体" w:cs="仿宋_GB2312"/>
          <w:kern w:val="0"/>
          <w:sz w:val="18"/>
          <w:szCs w:val="18"/>
        </w:rPr>
        <w:t>发生争议时可以作为合法有效的证据使用。甲方同意并授权乙方采取有效措施和技术手段记录营销推介、产品风险和关键信息提示、投资者确认和反馈等重点销售环节。</w:t>
      </w:r>
    </w:p>
    <w:p w14:paraId="52000589">
      <w:pPr>
        <w:widowControl/>
        <w:spacing w:line="360" w:lineRule="auto"/>
        <w:jc w:val="left"/>
        <w:rPr>
          <w:rFonts w:ascii="宋体" w:hAnsi="宋体" w:cs="仿宋_GB2312"/>
          <w:kern w:val="0"/>
          <w:sz w:val="18"/>
          <w:szCs w:val="18"/>
        </w:rPr>
      </w:pPr>
      <w:r>
        <w:rPr>
          <w:rFonts w:ascii="宋体" w:hAnsi="宋体" w:cs="仿宋_GB2312"/>
          <w:kern w:val="0"/>
          <w:sz w:val="18"/>
          <w:szCs w:val="18"/>
        </w:rPr>
        <w:t>12</w:t>
      </w:r>
      <w:r>
        <w:rPr>
          <w:rFonts w:hint="eastAsia" w:ascii="宋体" w:hAnsi="宋体" w:cs="仿宋_GB2312"/>
          <w:kern w:val="0"/>
          <w:sz w:val="18"/>
          <w:szCs w:val="18"/>
        </w:rPr>
        <w:t>.甲方同意并授权乙方有权根据甲方所勾选的业务申请类型，并根据业务办理需要、反洗钱、反欺诈工作、非居民金融账户涉税信息尽职调查、IPO或并购重组涉及的股东穿透核查或根据其他有权机关或监管要求等需要，收集调取投资者开户留存的有效身份证件或者其他身份证明文件信息、交易记录、数据信息、金融账户和其他资料，同时可向产品管理人、产品托管人、监管机构、有权机关、自律组织、理财登记备案机构、投资合作机构、投资交易相关方、中介服务机构、理财快速赎回服务提供方提供、留存前述信息。</w:t>
      </w:r>
    </w:p>
    <w:p w14:paraId="1CCF4BC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甲方签署本理财产品销售文件即视为已经同意乙方在前述范围内向相关方提供投资者信息。</w:t>
      </w:r>
    </w:p>
    <w:p w14:paraId="00C029DE">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3</w:t>
      </w:r>
      <w:r>
        <w:rPr>
          <w:rFonts w:hint="eastAsia" w:ascii="宋体" w:hAnsi="宋体" w:cs="仿宋_GB2312"/>
          <w:kern w:val="0"/>
          <w:sz w:val="18"/>
          <w:szCs w:val="18"/>
        </w:rPr>
        <w:t>.乙方对理财产品代理</w:t>
      </w:r>
      <w:r>
        <w:rPr>
          <w:rFonts w:ascii="宋体" w:hAnsi="宋体" w:cs="仿宋_GB2312"/>
          <w:kern w:val="0"/>
          <w:sz w:val="18"/>
          <w:szCs w:val="18"/>
        </w:rPr>
        <w:t>销售业务资料</w:t>
      </w:r>
      <w:r>
        <w:rPr>
          <w:rFonts w:hint="eastAsia" w:ascii="宋体" w:hAnsi="宋体" w:cs="仿宋_GB2312"/>
          <w:kern w:val="0"/>
          <w:sz w:val="18"/>
          <w:szCs w:val="18"/>
        </w:rPr>
        <w:t>负有保密义务，未经甲方书面许可，乙方不得向任何组织、个人提供或泄露与甲方有关的业务资料及信息，但理财产品销售文件</w:t>
      </w:r>
      <w:r>
        <w:rPr>
          <w:rFonts w:ascii="宋体" w:hAnsi="宋体" w:cs="仿宋_GB2312"/>
          <w:kern w:val="0"/>
          <w:sz w:val="18"/>
          <w:szCs w:val="18"/>
        </w:rPr>
        <w:t>及</w:t>
      </w:r>
      <w:r>
        <w:rPr>
          <w:rFonts w:hint="eastAsia" w:ascii="宋体" w:hAnsi="宋体" w:cs="仿宋_GB2312"/>
          <w:kern w:val="0"/>
          <w:sz w:val="18"/>
          <w:szCs w:val="18"/>
        </w:rPr>
        <w:t>法律法规另有规定的除外。</w:t>
      </w:r>
    </w:p>
    <w:p w14:paraId="705929C1">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4</w:t>
      </w:r>
      <w:r>
        <w:rPr>
          <w:rFonts w:hint="eastAsia" w:ascii="宋体" w:hAnsi="宋体" w:cs="仿宋_GB2312"/>
          <w:kern w:val="0"/>
          <w:sz w:val="18"/>
          <w:szCs w:val="18"/>
        </w:rPr>
        <w:t>.甲方承诺严格遵守反洗钱相关法律法规和规章制度，不参与或协助洗钱、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恐怖融资、逃税活动等违法行为。乙方发现或有合理理由怀疑甲方、甲方资金或甲方交易行为涉嫌洗钱、</w:t>
      </w:r>
      <w:r>
        <w:rPr>
          <w:rFonts w:hint="eastAsia" w:ascii="宋体" w:hAnsi="宋体" w:cs="仿宋_GB2312"/>
          <w:kern w:val="0"/>
          <w:sz w:val="18"/>
          <w:szCs w:val="18"/>
          <w:lang w:val="en-US" w:eastAsia="zh-CN"/>
        </w:rPr>
        <w:t>欺诈、</w:t>
      </w:r>
      <w:r>
        <w:rPr>
          <w:rFonts w:hint="eastAsia" w:ascii="宋体" w:hAnsi="宋体" w:cs="仿宋_GB2312"/>
          <w:kern w:val="0"/>
          <w:sz w:val="18"/>
          <w:szCs w:val="18"/>
        </w:rPr>
        <w:t>恐怖融资、逃税等犯罪活动相关的，乙方有权提前终止本协议，造成甲方损失的，乙方不承担责任。</w:t>
      </w:r>
    </w:p>
    <w:p w14:paraId="16F1A655">
      <w:pPr>
        <w:widowControl/>
        <w:spacing w:line="360" w:lineRule="auto"/>
        <w:jc w:val="left"/>
        <w:rPr>
          <w:rFonts w:ascii="宋体" w:hAnsi="宋体" w:cs="仿宋_GB2312"/>
          <w:kern w:val="0"/>
          <w:sz w:val="18"/>
          <w:szCs w:val="18"/>
        </w:rPr>
      </w:pPr>
    </w:p>
    <w:p w14:paraId="2D4E09FA">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第二条 免责条款</w:t>
      </w:r>
    </w:p>
    <w:p w14:paraId="38C981C8">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由于国家有关法律、法规、规章、政策的改变、紧急措施的出台而导致甲方蒙受损失或协议终止的，乙方不承担责任。</w:t>
      </w:r>
    </w:p>
    <w:p w14:paraId="64311CE9">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2</w:t>
      </w:r>
      <w:r>
        <w:rPr>
          <w:rFonts w:hint="eastAsia" w:ascii="黑体" w:hAnsi="黑体" w:eastAsia="黑体" w:cs="仿宋_GB2312"/>
          <w:kern w:val="0"/>
          <w:sz w:val="18"/>
          <w:szCs w:val="18"/>
        </w:rPr>
        <w:t>.</w:t>
      </w:r>
      <w:r>
        <w:rPr>
          <w:rFonts w:ascii="黑体" w:hAnsi="黑体" w:eastAsia="黑体" w:cs="仿宋_GB2312"/>
          <w:kern w:val="0"/>
          <w:sz w:val="18"/>
          <w:szCs w:val="18"/>
        </w:rPr>
        <w:t>由于不可抗力或乙方无过错且无法防止的外因而导致的交易中断、延误等风险及损失，乙方不承担责任。</w:t>
      </w:r>
    </w:p>
    <w:p w14:paraId="34FC2460">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kern w:val="0"/>
          <w:sz w:val="18"/>
          <w:szCs w:val="18"/>
        </w:rPr>
        <w:t>.</w:t>
      </w:r>
      <w:r>
        <w:rPr>
          <w:rFonts w:ascii="黑体" w:hAnsi="黑体" w:eastAsia="黑体" w:cs="仿宋_GB2312"/>
          <w:kern w:val="0"/>
          <w:sz w:val="18"/>
          <w:szCs w:val="18"/>
        </w:rPr>
        <w:t>非因乙方原因（包括但不限于甲方遗失本协议、协议被盗用、交易账户被司法机关等有权部门冻结、扣划等原因）造成的损失，乙方不承担责任。</w:t>
      </w:r>
    </w:p>
    <w:p w14:paraId="713E76EB">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发生前述情形时，乙方将在条件允许的情况下采取必要合理的补救措施，尽力保护甲方利益，以减少甲方损失。</w:t>
      </w:r>
    </w:p>
    <w:p w14:paraId="5E505CCD">
      <w:pPr>
        <w:widowControl/>
        <w:spacing w:line="360" w:lineRule="auto"/>
        <w:jc w:val="left"/>
        <w:rPr>
          <w:rFonts w:ascii="宋体" w:hAnsi="宋体" w:cs="仿宋_GB2312"/>
          <w:kern w:val="0"/>
          <w:sz w:val="18"/>
          <w:szCs w:val="18"/>
        </w:rPr>
      </w:pPr>
    </w:p>
    <w:p w14:paraId="210C3366">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第三条 争议处理</w:t>
      </w:r>
    </w:p>
    <w:p w14:paraId="3DB3D3DE">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t>1</w:t>
      </w:r>
      <w:r>
        <w:rPr>
          <w:rFonts w:hint="eastAsia" w:ascii="黑体" w:hAnsi="黑体" w:eastAsia="黑体" w:cs="仿宋_GB2312"/>
          <w:kern w:val="0"/>
          <w:sz w:val="18"/>
          <w:szCs w:val="18"/>
        </w:rPr>
        <w:t>.</w:t>
      </w:r>
      <w:r>
        <w:rPr>
          <w:rFonts w:ascii="黑体" w:hAnsi="黑体" w:eastAsia="黑体" w:cs="仿宋_GB2312"/>
          <w:kern w:val="0"/>
          <w:sz w:val="18"/>
          <w:szCs w:val="18"/>
        </w:rPr>
        <w:t>本协议在履行过程中发生的争议，由甲乙双方协商解决，协商不成的，任何一方可向乙方住所地</w:t>
      </w:r>
      <w:r>
        <w:rPr>
          <w:rFonts w:hint="eastAsia" w:ascii="黑体" w:hAnsi="黑体" w:eastAsia="黑体" w:cs="仿宋_GB2312"/>
          <w:kern w:val="0"/>
          <w:sz w:val="18"/>
          <w:szCs w:val="18"/>
        </w:rPr>
        <w:t>人民法院起诉。</w:t>
      </w:r>
    </w:p>
    <w:p w14:paraId="084EE2C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2.在诉讼期间，本协议不涉及争议部分的条款仍须履行。</w:t>
      </w:r>
    </w:p>
    <w:p w14:paraId="4CA7D163">
      <w:pPr>
        <w:widowControl/>
        <w:spacing w:line="360" w:lineRule="auto"/>
        <w:jc w:val="left"/>
        <w:rPr>
          <w:rFonts w:ascii="宋体" w:hAnsi="宋体" w:cs="仿宋_GB2312"/>
          <w:kern w:val="0"/>
          <w:sz w:val="18"/>
          <w:szCs w:val="18"/>
        </w:rPr>
      </w:pPr>
    </w:p>
    <w:p w14:paraId="35FDB66C">
      <w:pPr>
        <w:widowControl/>
        <w:spacing w:line="360" w:lineRule="auto"/>
        <w:jc w:val="center"/>
        <w:rPr>
          <w:rFonts w:ascii="宋体" w:hAnsi="宋体" w:cs="仿宋_GB2312"/>
          <w:b/>
          <w:kern w:val="0"/>
          <w:sz w:val="18"/>
          <w:szCs w:val="18"/>
        </w:rPr>
      </w:pPr>
      <w:r>
        <w:rPr>
          <w:rFonts w:hint="eastAsia" w:ascii="宋体" w:hAnsi="宋体" w:cs="仿宋_GB2312"/>
          <w:b/>
          <w:kern w:val="0"/>
          <w:sz w:val="18"/>
          <w:szCs w:val="18"/>
        </w:rPr>
        <w:t>第四条 协议的生效和终止</w:t>
      </w:r>
    </w:p>
    <w:p w14:paraId="3257093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1</w:t>
      </w:r>
      <w:r>
        <w:rPr>
          <w:rFonts w:ascii="宋体" w:hAnsi="宋体" w:cs="仿宋_GB2312"/>
          <w:kern w:val="0"/>
          <w:sz w:val="18"/>
          <w:szCs w:val="18"/>
        </w:rPr>
        <w:t>.</w:t>
      </w:r>
      <w:r>
        <w:rPr>
          <w:rFonts w:hint="eastAsia" w:ascii="宋体" w:hAnsi="宋体" w:cs="仿宋_GB2312"/>
          <w:kern w:val="0"/>
          <w:sz w:val="18"/>
          <w:szCs w:val="18"/>
        </w:rPr>
        <w:t>协议生效</w:t>
      </w:r>
    </w:p>
    <w:p w14:paraId="7FA6437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甲方通过乙方线下渠道购买理财产品的，本协议经甲方签名或盖章且乙方盖柜面业务章后生效（为避免歧义，乙方相关业务人员在本协议的签字仅为乙方内部风险控制要求，并不作为协议成立的条件，下同）。</w:t>
      </w:r>
    </w:p>
    <w:p w14:paraId="3087CEE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甲方通过乙方线上</w:t>
      </w:r>
      <w:r>
        <w:rPr>
          <w:rFonts w:ascii="宋体" w:hAnsi="宋体" w:cs="仿宋_GB2312"/>
          <w:kern w:val="0"/>
          <w:sz w:val="18"/>
          <w:szCs w:val="18"/>
        </w:rPr>
        <w:t>渠道</w:t>
      </w:r>
      <w:r>
        <w:rPr>
          <w:rFonts w:hint="eastAsia" w:ascii="宋体" w:hAnsi="宋体" w:cs="仿宋_GB2312"/>
          <w:kern w:val="0"/>
          <w:sz w:val="18"/>
          <w:szCs w:val="18"/>
        </w:rPr>
        <w:t>（网上银行、手机银行、可视柜台等）购买理财产品的，甲方点击确认同意本协议后生效。</w:t>
      </w:r>
    </w:p>
    <w:p w14:paraId="1CDA9F7C">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2.协议终止</w:t>
      </w:r>
    </w:p>
    <w:p w14:paraId="0CB5B387">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本协议及《投资</w:t>
      </w:r>
      <w:r>
        <w:rPr>
          <w:rFonts w:ascii="宋体" w:hAnsi="宋体" w:cs="仿宋_GB2312"/>
          <w:kern w:val="0"/>
          <w:sz w:val="18"/>
          <w:szCs w:val="18"/>
        </w:rPr>
        <w:t>协议书</w:t>
      </w:r>
      <w:r>
        <w:rPr>
          <w:rFonts w:hint="eastAsia" w:ascii="宋体" w:hAnsi="宋体" w:cs="仿宋_GB2312"/>
          <w:kern w:val="0"/>
          <w:sz w:val="18"/>
          <w:szCs w:val="18"/>
        </w:rPr>
        <w:t>》《产品说明书》《风险揭示书》《投资者权益须知》项下各方权利义务履行完毕之日，本协议自动终止。</w:t>
      </w:r>
    </w:p>
    <w:p w14:paraId="55C2C2F3">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3.其他</w:t>
      </w:r>
    </w:p>
    <w:p w14:paraId="12AC514A">
      <w:pPr>
        <w:widowControl/>
        <w:spacing w:line="360" w:lineRule="auto"/>
        <w:jc w:val="left"/>
        <w:rPr>
          <w:rFonts w:ascii="宋体" w:hAnsi="宋体" w:cs="仿宋_GB2312"/>
          <w:kern w:val="0"/>
          <w:sz w:val="18"/>
          <w:szCs w:val="18"/>
        </w:rPr>
      </w:pPr>
      <w:r>
        <w:rPr>
          <w:rFonts w:hint="eastAsia" w:ascii="宋体" w:hAnsi="宋体" w:cs="仿宋_GB2312"/>
          <w:kern w:val="0"/>
          <w:sz w:val="18"/>
          <w:szCs w:val="18"/>
        </w:rPr>
        <w:t>甲方通过乙方的线下渠道购买本产品时，本协议一式叁份，销售机构、投资者及产品管理人各执一份，且具有同等法律效力。</w:t>
      </w:r>
    </w:p>
    <w:p w14:paraId="4C363DFD">
      <w:pPr>
        <w:widowControl/>
        <w:spacing w:line="360" w:lineRule="auto"/>
        <w:jc w:val="left"/>
        <w:rPr>
          <w:rFonts w:ascii="宋体" w:hAnsi="宋体" w:cs="仿宋_GB2312"/>
          <w:b/>
          <w:kern w:val="0"/>
          <w:sz w:val="18"/>
          <w:szCs w:val="18"/>
        </w:rPr>
      </w:pPr>
    </w:p>
    <w:p w14:paraId="5D5A8A97">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甲方声明：</w:t>
      </w:r>
    </w:p>
    <w:p w14:paraId="183D983A">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w:t>
      </w:r>
      <w:r>
        <w:rPr>
          <w:rFonts w:ascii="黑体" w:hAnsi="黑体" w:eastAsia="黑体" w:cs="仿宋_GB2312"/>
          <w:kern w:val="0"/>
          <w:sz w:val="18"/>
          <w:szCs w:val="18"/>
        </w:rPr>
        <w:t>1)甲方已经收到所购买乙方销售的理财产品的《投资协议书</w:t>
      </w:r>
      <w:r>
        <w:rPr>
          <w:rFonts w:hint="eastAsia" w:ascii="黑体" w:hAnsi="黑体" w:eastAsia="黑体" w:cs="仿宋_GB2312"/>
          <w:kern w:val="0"/>
          <w:sz w:val="18"/>
          <w:szCs w:val="18"/>
        </w:rPr>
        <w:t>》《产品说明书</w:t>
      </w:r>
      <w:r>
        <w:rPr>
          <w:rFonts w:ascii="黑体" w:hAnsi="黑体" w:eastAsia="黑体" w:cs="仿宋_GB2312"/>
          <w:kern w:val="0"/>
          <w:sz w:val="18"/>
          <w:szCs w:val="18"/>
        </w:rPr>
        <w:t>》《</w:t>
      </w:r>
      <w:r>
        <w:rPr>
          <w:rFonts w:hint="eastAsia" w:ascii="黑体" w:hAnsi="黑体" w:eastAsia="黑体" w:cs="仿宋_GB2312"/>
          <w:kern w:val="0"/>
          <w:sz w:val="18"/>
          <w:szCs w:val="18"/>
        </w:rPr>
        <w:t>（代理）销售协议书</w:t>
      </w:r>
      <w:r>
        <w:rPr>
          <w:rFonts w:ascii="黑体" w:hAnsi="黑体" w:eastAsia="黑体" w:cs="仿宋_GB2312"/>
          <w:kern w:val="0"/>
          <w:sz w:val="18"/>
          <w:szCs w:val="18"/>
        </w:rPr>
        <w:t>》《</w:t>
      </w:r>
      <w:r>
        <w:rPr>
          <w:rFonts w:hint="eastAsia" w:ascii="黑体" w:hAnsi="黑体" w:eastAsia="黑体" w:cs="仿宋_GB2312"/>
          <w:kern w:val="0"/>
          <w:sz w:val="18"/>
          <w:szCs w:val="18"/>
        </w:rPr>
        <w:t>风险揭示书》《投资者权益须知》等，并完全理解和接受上述文件的全部内容，清楚了解所购买理财产品的内容及可能出现的风险。甲方的投资决策完全基于甲方的独立自主判断做出，并自愿承担所认购</w:t>
      </w:r>
      <w:r>
        <w:rPr>
          <w:rFonts w:ascii="黑体" w:hAnsi="黑体" w:eastAsia="黑体" w:cs="仿宋_GB2312"/>
          <w:kern w:val="0"/>
          <w:sz w:val="18"/>
          <w:szCs w:val="18"/>
        </w:rPr>
        <w:t>、申购</w:t>
      </w:r>
      <w:r>
        <w:rPr>
          <w:rFonts w:hint="eastAsia" w:ascii="黑体" w:hAnsi="黑体" w:eastAsia="黑体" w:cs="仿宋_GB2312"/>
          <w:kern w:val="0"/>
          <w:sz w:val="18"/>
          <w:szCs w:val="18"/>
        </w:rPr>
        <w:t>、赎回理财产品所产生的相关风险和不利后果。</w:t>
      </w:r>
    </w:p>
    <w:p w14:paraId="174D7414">
      <w:pPr>
        <w:widowControl/>
        <w:spacing w:line="360" w:lineRule="auto"/>
        <w:jc w:val="left"/>
        <w:rPr>
          <w:rFonts w:hint="eastAsia" w:ascii="黑体" w:hAnsi="黑体" w:eastAsia="黑体" w:cs="仿宋_GB2312"/>
          <w:kern w:val="0"/>
          <w:sz w:val="18"/>
          <w:szCs w:val="18"/>
        </w:rPr>
      </w:pPr>
      <w:r>
        <w:rPr>
          <w:rFonts w:hint="eastAsia" w:ascii="黑体" w:hAnsi="黑体" w:eastAsia="黑体" w:cs="仿宋_GB2312"/>
          <w:kern w:val="0"/>
          <w:sz w:val="18"/>
          <w:szCs w:val="18"/>
        </w:rPr>
        <w:t>（2)甲方确认乙方相关业务人员对于本协议中有关增加甲方义务、限制甲方权利以及免除、限制乙方责任和乙方拥有权利的条款已向甲方予以解释说明，甲方自愿接受上述条款的约束，双方对本协议条款的理解已完全达成一致。</w:t>
      </w:r>
    </w:p>
    <w:p w14:paraId="780B5433">
      <w:pPr>
        <w:widowControl/>
        <w:spacing w:line="360" w:lineRule="auto"/>
        <w:jc w:val="left"/>
        <w:rPr>
          <w:rFonts w:ascii="黑体" w:hAnsi="黑体" w:eastAsia="黑体" w:cs="仿宋_GB2312"/>
          <w:kern w:val="0"/>
          <w:sz w:val="18"/>
          <w:szCs w:val="18"/>
        </w:rPr>
      </w:pPr>
      <w:r>
        <w:rPr>
          <w:rFonts w:hint="eastAsia" w:ascii="黑体" w:hAnsi="黑体" w:eastAsia="黑体" w:cs="仿宋_GB2312"/>
          <w:kern w:val="0"/>
          <w:sz w:val="18"/>
          <w:szCs w:val="18"/>
        </w:rPr>
        <w:t>（3）甲方确认乙方相关业务人员不存在代替甲方签署销售业务相关文件，或代替甲方进行风险承受能力评估、理财产品购买等操作，不存在代替甲方持有或安排他人代替甲方持有理财产品的情况。</w:t>
      </w:r>
    </w:p>
    <w:p w14:paraId="39B84E3A">
      <w:pPr>
        <w:widowControl/>
        <w:jc w:val="left"/>
        <w:rPr>
          <w:rFonts w:ascii="宋体" w:hAnsi="宋体" w:cs="仿宋_GB2312"/>
          <w:b/>
          <w:kern w:val="0"/>
          <w:sz w:val="18"/>
          <w:szCs w:val="18"/>
        </w:rPr>
      </w:pPr>
      <w:r>
        <w:rPr>
          <w:rFonts w:ascii="宋体" w:hAnsi="宋体" w:cs="仿宋_GB2312"/>
          <w:b/>
          <w:kern w:val="0"/>
          <w:sz w:val="18"/>
          <w:szCs w:val="18"/>
        </w:rPr>
        <w:br w:type="page"/>
      </w:r>
    </w:p>
    <w:p w14:paraId="44E45508">
      <w:pPr>
        <w:autoSpaceDE w:val="0"/>
        <w:autoSpaceDN w:val="0"/>
        <w:adjustRightInd w:val="0"/>
        <w:snapToGrid w:val="0"/>
        <w:spacing w:line="280" w:lineRule="atLeast"/>
        <w:ind w:firstLine="360" w:firstLineChars="200"/>
        <w:rPr>
          <w:rFonts w:ascii="黑体" w:hAnsi="黑体" w:eastAsia="黑体" w:cs="仿宋_GB2312"/>
          <w:kern w:val="0"/>
          <w:sz w:val="18"/>
          <w:szCs w:val="18"/>
        </w:rPr>
      </w:pPr>
    </w:p>
    <w:tbl>
      <w:tblPr>
        <w:tblStyle w:val="9"/>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851"/>
        <w:gridCol w:w="6998"/>
      </w:tblGrid>
      <w:tr w14:paraId="4CD67AE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3"/>
            <w:vAlign w:val="center"/>
          </w:tcPr>
          <w:p w14:paraId="31CE5B44">
            <w:pPr>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签署栏</w:t>
            </w:r>
          </w:p>
        </w:tc>
      </w:tr>
      <w:tr w14:paraId="68417E8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43AEBA11">
            <w:pPr>
              <w:tabs>
                <w:tab w:val="left" w:pos="8070"/>
                <w:tab w:val="right" w:pos="8306"/>
              </w:tabs>
              <w:autoSpaceDE w:val="0"/>
              <w:autoSpaceDN w:val="0"/>
              <w:adjustRightInd w:val="0"/>
              <w:snapToGrid w:val="0"/>
              <w:spacing w:line="360" w:lineRule="auto"/>
              <w:jc w:val="center"/>
              <w:rPr>
                <w:rFonts w:ascii="黑体" w:hAnsi="黑体" w:eastAsia="黑体"/>
                <w:kern w:val="0"/>
                <w:sz w:val="18"/>
                <w:szCs w:val="18"/>
              </w:rPr>
            </w:pPr>
            <w:r>
              <w:rPr>
                <w:rFonts w:hint="eastAsia" w:ascii="黑体" w:hAnsi="黑体" w:eastAsia="黑体"/>
                <w:kern w:val="0"/>
                <w:sz w:val="18"/>
                <w:szCs w:val="18"/>
              </w:rPr>
              <w:t>★</w:t>
            </w:r>
          </w:p>
          <w:p w14:paraId="30013A10">
            <w:pPr>
              <w:tabs>
                <w:tab w:val="left" w:pos="8070"/>
                <w:tab w:val="right" w:pos="8306"/>
              </w:tabs>
              <w:autoSpaceDE w:val="0"/>
              <w:autoSpaceDN w:val="0"/>
              <w:adjustRightInd w:val="0"/>
              <w:snapToGrid w:val="0"/>
              <w:spacing w:line="360" w:lineRule="auto"/>
              <w:jc w:val="center"/>
              <w:rPr>
                <w:rFonts w:ascii="宋体" w:hAnsi="宋体"/>
                <w:b/>
                <w:kern w:val="0"/>
                <w:sz w:val="18"/>
                <w:szCs w:val="18"/>
              </w:rPr>
            </w:pPr>
            <w:r>
              <w:rPr>
                <w:rFonts w:hint="eastAsia" w:ascii="宋体" w:hAnsi="宋体"/>
                <w:b/>
                <w:kern w:val="0"/>
                <w:sz w:val="18"/>
                <w:szCs w:val="18"/>
              </w:rPr>
              <w:t>签署声明</w:t>
            </w:r>
          </w:p>
        </w:tc>
        <w:tc>
          <w:tcPr>
            <w:tcW w:w="7849" w:type="dxa"/>
            <w:gridSpan w:val="2"/>
          </w:tcPr>
          <w:p w14:paraId="4834630E">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1</w:t>
            </w:r>
            <w:r>
              <w:rPr>
                <w:rFonts w:hint="eastAsia" w:ascii="黑体" w:hAnsi="黑体" w:eastAsia="黑体"/>
                <w:kern w:val="0"/>
                <w:sz w:val="18"/>
                <w:szCs w:val="18"/>
              </w:rPr>
              <w:t>.</w:t>
            </w:r>
            <w:r>
              <w:rPr>
                <w:rFonts w:ascii="黑体" w:hAnsi="黑体" w:eastAsia="黑体"/>
                <w:kern w:val="0"/>
                <w:sz w:val="18"/>
                <w:szCs w:val="18"/>
              </w:rPr>
              <w:t>在签署本《</w:t>
            </w:r>
            <w:r>
              <w:rPr>
                <w:rFonts w:hint="eastAsia" w:ascii="黑体" w:hAnsi="黑体" w:eastAsia="黑体"/>
                <w:kern w:val="0"/>
                <w:sz w:val="18"/>
                <w:szCs w:val="18"/>
              </w:rPr>
              <w:t>（代理）</w:t>
            </w:r>
            <w:r>
              <w:rPr>
                <w:rFonts w:ascii="黑体" w:hAnsi="黑体" w:eastAsia="黑体"/>
                <w:kern w:val="0"/>
                <w:sz w:val="18"/>
                <w:szCs w:val="18"/>
              </w:rPr>
              <w:t>销售协议书》以前，甲方已认真阅读理财产品销售文件（包括但不限于《</w:t>
            </w:r>
            <w:r>
              <w:rPr>
                <w:rFonts w:hint="eastAsia" w:ascii="黑体" w:hAnsi="黑体" w:eastAsia="黑体"/>
                <w:kern w:val="0"/>
                <w:sz w:val="18"/>
                <w:szCs w:val="18"/>
              </w:rPr>
              <w:t>投资</w:t>
            </w:r>
            <w:r>
              <w:rPr>
                <w:rFonts w:ascii="黑体" w:hAnsi="黑体" w:eastAsia="黑体"/>
                <w:kern w:val="0"/>
                <w:sz w:val="18"/>
                <w:szCs w:val="18"/>
              </w:rPr>
              <w:t>协议书》《产品说明书》《</w:t>
            </w:r>
            <w:r>
              <w:rPr>
                <w:rFonts w:hint="eastAsia" w:ascii="黑体" w:hAnsi="黑体" w:eastAsia="黑体"/>
                <w:kern w:val="0"/>
                <w:sz w:val="18"/>
                <w:szCs w:val="18"/>
              </w:rPr>
              <w:t>（代理）销售</w:t>
            </w:r>
            <w:r>
              <w:rPr>
                <w:rFonts w:ascii="黑体" w:hAnsi="黑体" w:eastAsia="黑体"/>
                <w:kern w:val="0"/>
                <w:sz w:val="18"/>
                <w:szCs w:val="18"/>
              </w:rPr>
              <w:t>协议书</w:t>
            </w:r>
            <w:r>
              <w:rPr>
                <w:rFonts w:hint="eastAsia" w:ascii="黑体" w:hAnsi="黑体" w:eastAsia="黑体"/>
                <w:kern w:val="0"/>
                <w:sz w:val="18"/>
                <w:szCs w:val="18"/>
              </w:rPr>
              <w:t>》《</w:t>
            </w:r>
            <w:r>
              <w:rPr>
                <w:rFonts w:ascii="黑体" w:hAnsi="黑体" w:eastAsia="黑体"/>
                <w:kern w:val="0"/>
                <w:sz w:val="18"/>
                <w:szCs w:val="18"/>
              </w:rPr>
              <w:t>风险揭示书》《投资者权益须知》等文件）的全部内容，</w:t>
            </w:r>
            <w:r>
              <w:rPr>
                <w:rFonts w:hint="eastAsia" w:ascii="黑体" w:hAnsi="黑体" w:eastAsia="黑体"/>
                <w:kern w:val="0"/>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乙方已提醒甲方注意对本协议各条款，特别是黑体字条款作全面、准确的理解，并应甲方要求做了相应条款的说明，甲方认同并接受本协议全部条款，对有关条款不存在任何疑问或异议，并对协议双方的权利、义务、责任与风险有清楚和准确的理解，甲方做出的任何决策均出于自身独立的判断，是甲方真实的意思表示。</w:t>
            </w:r>
          </w:p>
          <w:p w14:paraId="63416F4D">
            <w:pPr>
              <w:tabs>
                <w:tab w:val="left" w:pos="0"/>
                <w:tab w:val="left" w:pos="3600"/>
              </w:tabs>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.甲方</w:t>
            </w:r>
            <w:r>
              <w:rPr>
                <w:rFonts w:ascii="黑体" w:hAnsi="黑体" w:eastAsia="黑体"/>
                <w:kern w:val="0"/>
                <w:sz w:val="18"/>
                <w:szCs w:val="18"/>
              </w:rPr>
              <w:t>已认真阅读并充分理解包括但不限于《</w:t>
            </w:r>
            <w:r>
              <w:rPr>
                <w:rFonts w:hint="eastAsia" w:ascii="黑体" w:hAnsi="黑体" w:eastAsia="黑体"/>
                <w:kern w:val="0"/>
                <w:sz w:val="18"/>
                <w:szCs w:val="18"/>
              </w:rPr>
              <w:t>（代理）</w:t>
            </w:r>
            <w:r>
              <w:rPr>
                <w:rFonts w:ascii="黑体" w:hAnsi="黑体" w:eastAsia="黑体"/>
                <w:kern w:val="0"/>
                <w:sz w:val="18"/>
                <w:szCs w:val="18"/>
              </w:rPr>
              <w:t>销售协议书》</w:t>
            </w:r>
            <w:r>
              <w:rPr>
                <w:rFonts w:hint="eastAsia" w:ascii="黑体" w:hAnsi="黑体" w:eastAsia="黑体"/>
                <w:kern w:val="0"/>
                <w:sz w:val="18"/>
                <w:szCs w:val="18"/>
              </w:rPr>
              <w:t>等全套理财产品销售文件</w:t>
            </w:r>
            <w:r>
              <w:rPr>
                <w:rFonts w:ascii="黑体" w:hAnsi="黑体" w:eastAsia="黑体"/>
                <w:kern w:val="0"/>
                <w:sz w:val="18"/>
                <w:szCs w:val="18"/>
              </w:rPr>
              <w:t>关于投资理财产品及其全部风险的有关内容，同意本次</w:t>
            </w:r>
            <w:r>
              <w:rPr>
                <w:rFonts w:hint="eastAsia" w:ascii="黑体" w:hAnsi="黑体" w:eastAsia="黑体"/>
                <w:kern w:val="0"/>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5AA65E5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4" w:hRule="exact"/>
        </w:trPr>
        <w:tc>
          <w:tcPr>
            <w:tcW w:w="675" w:type="dxa"/>
            <w:vMerge w:val="restart"/>
            <w:vAlign w:val="center"/>
          </w:tcPr>
          <w:p w14:paraId="23334B86">
            <w:pPr>
              <w:spacing w:line="360" w:lineRule="auto"/>
              <w:jc w:val="center"/>
              <w:rPr>
                <w:b/>
                <w:kern w:val="0"/>
                <w:sz w:val="18"/>
                <w:szCs w:val="18"/>
              </w:rPr>
            </w:pPr>
            <w:r>
              <w:rPr>
                <w:rFonts w:hint="eastAsia"/>
                <w:b/>
                <w:kern w:val="0"/>
                <w:sz w:val="18"/>
                <w:szCs w:val="18"/>
              </w:rPr>
              <w:t>甲方签署栏</w:t>
            </w:r>
          </w:p>
        </w:tc>
        <w:tc>
          <w:tcPr>
            <w:tcW w:w="851" w:type="dxa"/>
          </w:tcPr>
          <w:p w14:paraId="48B6DAC4">
            <w:pPr>
              <w:spacing w:line="360" w:lineRule="auto"/>
              <w:rPr>
                <w:kern w:val="0"/>
                <w:sz w:val="18"/>
                <w:szCs w:val="18"/>
              </w:rPr>
            </w:pPr>
            <w:r>
              <w:rPr>
                <w:rFonts w:hint="eastAsia"/>
                <w:kern w:val="0"/>
                <w:sz w:val="18"/>
                <w:szCs w:val="18"/>
              </w:rPr>
              <w:t>个人投资者适用</w:t>
            </w:r>
          </w:p>
        </w:tc>
        <w:tc>
          <w:tcPr>
            <w:tcW w:w="6998" w:type="dxa"/>
          </w:tcPr>
          <w:p w14:paraId="41A91742">
            <w:pPr>
              <w:spacing w:line="360" w:lineRule="auto"/>
              <w:rPr>
                <w:kern w:val="0"/>
                <w:sz w:val="18"/>
                <w:szCs w:val="18"/>
              </w:rPr>
            </w:pPr>
            <w:r>
              <w:rPr>
                <w:rFonts w:hint="eastAsia"/>
                <w:kern w:val="0"/>
                <w:sz w:val="18"/>
                <w:szCs w:val="18"/>
              </w:rPr>
              <w:t>甲方（签名/线上确认）：</w:t>
            </w:r>
          </w:p>
          <w:p w14:paraId="24AA7EEA">
            <w:pPr>
              <w:spacing w:line="360" w:lineRule="auto"/>
              <w:rPr>
                <w:b/>
                <w:kern w:val="0"/>
                <w:sz w:val="18"/>
                <w:szCs w:val="18"/>
              </w:rPr>
            </w:pPr>
          </w:p>
          <w:p w14:paraId="7703433B">
            <w:pPr>
              <w:spacing w:line="360" w:lineRule="auto"/>
              <w:rPr>
                <w:b/>
                <w:kern w:val="0"/>
                <w:sz w:val="18"/>
                <w:szCs w:val="18"/>
              </w:rPr>
            </w:pPr>
            <w:r>
              <w:rPr>
                <w:rFonts w:hint="eastAsia"/>
                <w:kern w:val="0"/>
                <w:sz w:val="18"/>
                <w:szCs w:val="18"/>
              </w:rPr>
              <w:t>日期：</w:t>
            </w:r>
          </w:p>
        </w:tc>
      </w:tr>
      <w:tr w14:paraId="01BEF81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14:paraId="71E4E27D">
            <w:pPr>
              <w:spacing w:line="360" w:lineRule="auto"/>
              <w:rPr>
                <w:b/>
                <w:kern w:val="0"/>
                <w:sz w:val="18"/>
                <w:szCs w:val="18"/>
              </w:rPr>
            </w:pPr>
          </w:p>
        </w:tc>
        <w:tc>
          <w:tcPr>
            <w:tcW w:w="851" w:type="dxa"/>
          </w:tcPr>
          <w:p w14:paraId="596BEA84">
            <w:pPr>
              <w:spacing w:line="360" w:lineRule="auto"/>
              <w:rPr>
                <w:kern w:val="0"/>
                <w:sz w:val="18"/>
                <w:szCs w:val="18"/>
              </w:rPr>
            </w:pPr>
            <w:r>
              <w:rPr>
                <w:rFonts w:hint="eastAsia"/>
                <w:kern w:val="0"/>
                <w:sz w:val="18"/>
                <w:szCs w:val="18"/>
              </w:rPr>
              <w:t>机构投资者适用</w:t>
            </w:r>
          </w:p>
        </w:tc>
        <w:tc>
          <w:tcPr>
            <w:tcW w:w="6998" w:type="dxa"/>
          </w:tcPr>
          <w:p w14:paraId="245B526E">
            <w:pPr>
              <w:spacing w:line="360" w:lineRule="auto"/>
              <w:rPr>
                <w:rFonts w:cs="Arial"/>
                <w:kern w:val="0"/>
                <w:sz w:val="18"/>
                <w:szCs w:val="18"/>
              </w:rPr>
            </w:pPr>
            <w:r>
              <w:rPr>
                <w:rFonts w:hint="eastAsia"/>
                <w:kern w:val="0"/>
                <w:sz w:val="18"/>
                <w:szCs w:val="18"/>
              </w:rPr>
              <w:t>甲方</w:t>
            </w:r>
            <w:r>
              <w:rPr>
                <w:rFonts w:hint="eastAsia" w:cs="Arial"/>
                <w:kern w:val="0"/>
                <w:sz w:val="18"/>
                <w:szCs w:val="18"/>
              </w:rPr>
              <w:t>（盖章/线上确认）：</w:t>
            </w:r>
          </w:p>
          <w:p w14:paraId="721B3C4E">
            <w:pPr>
              <w:spacing w:line="360" w:lineRule="auto"/>
              <w:rPr>
                <w:rFonts w:cs="Arial"/>
                <w:kern w:val="0"/>
                <w:sz w:val="18"/>
                <w:szCs w:val="18"/>
              </w:rPr>
            </w:pPr>
          </w:p>
          <w:p w14:paraId="2E6F8E9D">
            <w:pPr>
              <w:spacing w:line="360" w:lineRule="auto"/>
              <w:rPr>
                <w:rFonts w:cs="Arial"/>
                <w:kern w:val="0"/>
                <w:sz w:val="18"/>
                <w:szCs w:val="18"/>
              </w:rPr>
            </w:pPr>
            <w:r>
              <w:rPr>
                <w:rFonts w:hint="eastAsia" w:cs="Arial"/>
                <w:kern w:val="0"/>
                <w:sz w:val="18"/>
                <w:szCs w:val="18"/>
              </w:rPr>
              <w:t>甲方法定代表人或授权代理人（签名/盖章/线上确认）：</w:t>
            </w:r>
          </w:p>
          <w:p w14:paraId="751EE358">
            <w:pPr>
              <w:spacing w:line="360" w:lineRule="auto"/>
              <w:rPr>
                <w:kern w:val="0"/>
                <w:sz w:val="18"/>
                <w:szCs w:val="18"/>
              </w:rPr>
            </w:pPr>
            <w:r>
              <w:rPr>
                <w:rFonts w:hint="eastAsia"/>
                <w:kern w:val="0"/>
                <w:sz w:val="18"/>
                <w:szCs w:val="18"/>
              </w:rPr>
              <w:t>日期：</w:t>
            </w:r>
          </w:p>
        </w:tc>
      </w:tr>
      <w:tr w14:paraId="5F764E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tcPr>
          <w:p w14:paraId="68958936">
            <w:pPr>
              <w:spacing w:line="360" w:lineRule="auto"/>
              <w:jc w:val="center"/>
              <w:rPr>
                <w:b/>
                <w:kern w:val="0"/>
                <w:sz w:val="18"/>
                <w:szCs w:val="18"/>
              </w:rPr>
            </w:pPr>
            <w:r>
              <w:rPr>
                <w:rFonts w:hint="eastAsia"/>
                <w:b/>
                <w:kern w:val="0"/>
                <w:sz w:val="18"/>
                <w:szCs w:val="18"/>
              </w:rPr>
              <w:t>乙方</w:t>
            </w:r>
            <w:r>
              <w:rPr>
                <w:b/>
                <w:kern w:val="0"/>
                <w:sz w:val="18"/>
                <w:szCs w:val="18"/>
              </w:rPr>
              <w:t>签署栏</w:t>
            </w:r>
          </w:p>
        </w:tc>
        <w:tc>
          <w:tcPr>
            <w:tcW w:w="7849" w:type="dxa"/>
            <w:gridSpan w:val="2"/>
          </w:tcPr>
          <w:p w14:paraId="75F7C0D8">
            <w:pPr>
              <w:spacing w:line="360" w:lineRule="auto"/>
              <w:rPr>
                <w:kern w:val="0"/>
                <w:sz w:val="18"/>
                <w:szCs w:val="18"/>
              </w:rPr>
            </w:pPr>
            <w:r>
              <w:rPr>
                <w:rFonts w:hint="eastAsia"/>
                <w:kern w:val="0"/>
                <w:sz w:val="18"/>
                <w:szCs w:val="18"/>
              </w:rPr>
              <w:t>乙方</w:t>
            </w:r>
            <w:r>
              <w:rPr>
                <w:kern w:val="0"/>
                <w:sz w:val="18"/>
                <w:szCs w:val="18"/>
              </w:rPr>
              <w:t>（</w:t>
            </w:r>
            <w:r>
              <w:rPr>
                <w:rFonts w:hint="eastAsia"/>
                <w:kern w:val="0"/>
                <w:sz w:val="18"/>
                <w:szCs w:val="18"/>
              </w:rPr>
              <w:t>盖章</w:t>
            </w:r>
            <w:r>
              <w:rPr>
                <w:rFonts w:hint="eastAsia" w:cs="Arial"/>
                <w:kern w:val="0"/>
                <w:sz w:val="18"/>
                <w:szCs w:val="18"/>
              </w:rPr>
              <w:t>/线上确认</w:t>
            </w:r>
            <w:r>
              <w:rPr>
                <w:kern w:val="0"/>
                <w:sz w:val="18"/>
                <w:szCs w:val="18"/>
              </w:rPr>
              <w:t>）</w:t>
            </w:r>
            <w:r>
              <w:rPr>
                <w:rFonts w:hint="eastAsia"/>
                <w:kern w:val="0"/>
                <w:sz w:val="18"/>
                <w:szCs w:val="18"/>
              </w:rPr>
              <w:t>：</w:t>
            </w:r>
          </w:p>
          <w:p w14:paraId="70FEDFEA">
            <w:pPr>
              <w:spacing w:line="360" w:lineRule="auto"/>
              <w:rPr>
                <w:b/>
                <w:kern w:val="0"/>
                <w:sz w:val="18"/>
                <w:szCs w:val="18"/>
              </w:rPr>
            </w:pPr>
          </w:p>
          <w:p w14:paraId="0D5163B4">
            <w:pPr>
              <w:spacing w:line="360" w:lineRule="auto"/>
              <w:rPr>
                <w:kern w:val="0"/>
                <w:sz w:val="18"/>
                <w:szCs w:val="18"/>
              </w:rPr>
            </w:pPr>
            <w:r>
              <w:rPr>
                <w:rFonts w:hint="eastAsia"/>
                <w:kern w:val="0"/>
                <w:sz w:val="18"/>
                <w:szCs w:val="18"/>
              </w:rPr>
              <w:t>日期：</w:t>
            </w:r>
          </w:p>
        </w:tc>
      </w:tr>
    </w:tbl>
    <w:p w14:paraId="4CAA24CD">
      <w:pPr>
        <w:spacing w:line="360" w:lineRule="auto"/>
        <w:jc w:val="left"/>
        <w:rPr>
          <w:rFonts w:ascii="宋体" w:hAnsi="宋体"/>
          <w:b/>
          <w:sz w:val="18"/>
          <w:szCs w:val="18"/>
        </w:rPr>
      </w:pPr>
      <w:r>
        <w:rPr>
          <w:rFonts w:hint="eastAsia" w:ascii="宋体" w:hAnsi="宋体"/>
          <w:b/>
          <w:sz w:val="18"/>
          <w:szCs w:val="18"/>
        </w:rPr>
        <w:t>（本《（代理）销售协议书》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14:paraId="158F7CB7"/>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4442659"/>
    </w:sdtPr>
    <w:sdtContent>
      <w:p w14:paraId="5F5F5FA4">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08FD">
    <w:pPr>
      <w:pStyle w:val="5"/>
      <w:jc w:val="right"/>
      <w:rPr>
        <w:rFonts w:ascii="Times New Roman" w:hAnsi="Times New Roman" w:eastAsia="宋体" w:cs="Times New Roman"/>
        <w:b/>
        <w:szCs w:val="20"/>
      </w:rPr>
    </w:pPr>
    <w:r>
      <w:rPr>
        <w:rFonts w:hint="eastAsia"/>
      </w:rPr>
      <w:t xml:space="preserve">                             </w:t>
    </w:r>
    <w:r>
      <w:t xml:space="preserve">    </w:t>
    </w:r>
    <w:r>
      <w:rPr>
        <w:rFonts w:hint="eastAsia"/>
      </w:rPr>
      <w:t xml:space="preserve"> </w:t>
    </w:r>
    <w:r>
      <w:t xml:space="preserve">                    </w:t>
    </w:r>
    <w:r>
      <w:rPr>
        <w:rFonts w:hint="eastAsia" w:ascii="Times New Roman" w:hAnsi="Times New Roman" w:eastAsia="宋体" w:cs="Times New Roman"/>
        <w:b/>
        <w:szCs w:val="20"/>
      </w:rPr>
      <w:t>（代理）销售协议书</w:t>
    </w:r>
  </w:p>
  <w:p w14:paraId="2E1EB0A5">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dit="readOnly" w:enforcement="1" w:cryptProviderType="rsaFull" w:cryptAlgorithmClass="hash" w:cryptAlgorithmType="typeAny" w:cryptAlgorithmSid="4" w:cryptSpinCount="0" w:hash="t85noiMIorF2kgJd/i+1rRWTLOo=" w:salt="I1aZdfYk1f+t7dpB6VaDs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850C0B"/>
    <w:rsid w:val="00002873"/>
    <w:rsid w:val="00014ADA"/>
    <w:rsid w:val="0001651D"/>
    <w:rsid w:val="00054BE7"/>
    <w:rsid w:val="00092F58"/>
    <w:rsid w:val="000D097A"/>
    <w:rsid w:val="000E15A8"/>
    <w:rsid w:val="000F142C"/>
    <w:rsid w:val="00120AB9"/>
    <w:rsid w:val="00171AEC"/>
    <w:rsid w:val="00171F73"/>
    <w:rsid w:val="0017268F"/>
    <w:rsid w:val="001A3E4E"/>
    <w:rsid w:val="001D2168"/>
    <w:rsid w:val="001D5BB4"/>
    <w:rsid w:val="001E6B70"/>
    <w:rsid w:val="00217DEF"/>
    <w:rsid w:val="00263CF4"/>
    <w:rsid w:val="002818BE"/>
    <w:rsid w:val="002832E4"/>
    <w:rsid w:val="002A703E"/>
    <w:rsid w:val="002B4433"/>
    <w:rsid w:val="002C5DA4"/>
    <w:rsid w:val="002E77B9"/>
    <w:rsid w:val="00307205"/>
    <w:rsid w:val="00335DAF"/>
    <w:rsid w:val="0035300B"/>
    <w:rsid w:val="003722B7"/>
    <w:rsid w:val="00384C9E"/>
    <w:rsid w:val="003A4AD9"/>
    <w:rsid w:val="003B2D02"/>
    <w:rsid w:val="003B7AAC"/>
    <w:rsid w:val="003C713B"/>
    <w:rsid w:val="003D3782"/>
    <w:rsid w:val="003E41BC"/>
    <w:rsid w:val="003F4EEF"/>
    <w:rsid w:val="003F5736"/>
    <w:rsid w:val="00415D95"/>
    <w:rsid w:val="004229BF"/>
    <w:rsid w:val="00481E6B"/>
    <w:rsid w:val="00492856"/>
    <w:rsid w:val="00494F0E"/>
    <w:rsid w:val="004B5B82"/>
    <w:rsid w:val="004B6B60"/>
    <w:rsid w:val="004D44E7"/>
    <w:rsid w:val="004F6F56"/>
    <w:rsid w:val="005120A6"/>
    <w:rsid w:val="005145EE"/>
    <w:rsid w:val="00515D76"/>
    <w:rsid w:val="005306E2"/>
    <w:rsid w:val="00535E83"/>
    <w:rsid w:val="005650D6"/>
    <w:rsid w:val="005A04CB"/>
    <w:rsid w:val="005B4E69"/>
    <w:rsid w:val="005E6EDE"/>
    <w:rsid w:val="00637285"/>
    <w:rsid w:val="00637A14"/>
    <w:rsid w:val="006768FE"/>
    <w:rsid w:val="00692693"/>
    <w:rsid w:val="00697ECC"/>
    <w:rsid w:val="006C3C74"/>
    <w:rsid w:val="006C5C9E"/>
    <w:rsid w:val="006E521A"/>
    <w:rsid w:val="006E5FB3"/>
    <w:rsid w:val="00707491"/>
    <w:rsid w:val="0072412B"/>
    <w:rsid w:val="00746904"/>
    <w:rsid w:val="00746AAC"/>
    <w:rsid w:val="00752BF6"/>
    <w:rsid w:val="00756A1D"/>
    <w:rsid w:val="00776D40"/>
    <w:rsid w:val="007942D5"/>
    <w:rsid w:val="00796531"/>
    <w:rsid w:val="007A6974"/>
    <w:rsid w:val="007A7193"/>
    <w:rsid w:val="007C68DE"/>
    <w:rsid w:val="007D5FFF"/>
    <w:rsid w:val="007F3E92"/>
    <w:rsid w:val="008053A3"/>
    <w:rsid w:val="008336C6"/>
    <w:rsid w:val="00835E57"/>
    <w:rsid w:val="00840A54"/>
    <w:rsid w:val="00850C0B"/>
    <w:rsid w:val="00855B8B"/>
    <w:rsid w:val="00862B8A"/>
    <w:rsid w:val="00881981"/>
    <w:rsid w:val="00882285"/>
    <w:rsid w:val="00884C7E"/>
    <w:rsid w:val="00885477"/>
    <w:rsid w:val="008D2C2D"/>
    <w:rsid w:val="009025C3"/>
    <w:rsid w:val="00914E3E"/>
    <w:rsid w:val="0092643E"/>
    <w:rsid w:val="00940DBE"/>
    <w:rsid w:val="009C2479"/>
    <w:rsid w:val="009C579B"/>
    <w:rsid w:val="009D2ED5"/>
    <w:rsid w:val="009D61B4"/>
    <w:rsid w:val="009E2C80"/>
    <w:rsid w:val="009E7CCC"/>
    <w:rsid w:val="00A30B69"/>
    <w:rsid w:val="00A3186E"/>
    <w:rsid w:val="00A452A6"/>
    <w:rsid w:val="00A47BD1"/>
    <w:rsid w:val="00A80574"/>
    <w:rsid w:val="00A90F0B"/>
    <w:rsid w:val="00AA2731"/>
    <w:rsid w:val="00AA444A"/>
    <w:rsid w:val="00AC6C55"/>
    <w:rsid w:val="00AE7071"/>
    <w:rsid w:val="00B217E8"/>
    <w:rsid w:val="00B34214"/>
    <w:rsid w:val="00B358D0"/>
    <w:rsid w:val="00B532B9"/>
    <w:rsid w:val="00B5634B"/>
    <w:rsid w:val="00B61C33"/>
    <w:rsid w:val="00BE7F00"/>
    <w:rsid w:val="00C2419A"/>
    <w:rsid w:val="00C51D9E"/>
    <w:rsid w:val="00C70B3E"/>
    <w:rsid w:val="00C83C7A"/>
    <w:rsid w:val="00CD165E"/>
    <w:rsid w:val="00D3152C"/>
    <w:rsid w:val="00D35F82"/>
    <w:rsid w:val="00D82CA8"/>
    <w:rsid w:val="00DA4E9C"/>
    <w:rsid w:val="00DB6D12"/>
    <w:rsid w:val="00DD6860"/>
    <w:rsid w:val="00DE1CA6"/>
    <w:rsid w:val="00DE530A"/>
    <w:rsid w:val="00DE7050"/>
    <w:rsid w:val="00E134AE"/>
    <w:rsid w:val="00E145A0"/>
    <w:rsid w:val="00E334D3"/>
    <w:rsid w:val="00E36CAB"/>
    <w:rsid w:val="00E42B48"/>
    <w:rsid w:val="00E436F5"/>
    <w:rsid w:val="00E500BC"/>
    <w:rsid w:val="00E50B88"/>
    <w:rsid w:val="00E71AFA"/>
    <w:rsid w:val="00E76152"/>
    <w:rsid w:val="00E949CB"/>
    <w:rsid w:val="00EA5AA4"/>
    <w:rsid w:val="00EA72EF"/>
    <w:rsid w:val="00EB3736"/>
    <w:rsid w:val="00EB3ABC"/>
    <w:rsid w:val="00EC2E2B"/>
    <w:rsid w:val="00ED33FA"/>
    <w:rsid w:val="00EF3937"/>
    <w:rsid w:val="00F0046B"/>
    <w:rsid w:val="00F57B20"/>
    <w:rsid w:val="00F6614C"/>
    <w:rsid w:val="00F97CA1"/>
    <w:rsid w:val="00FA0051"/>
    <w:rsid w:val="00FA64F6"/>
    <w:rsid w:val="00FF1B1C"/>
    <w:rsid w:val="03BA56F6"/>
    <w:rsid w:val="1CB87339"/>
    <w:rsid w:val="248C49E5"/>
    <w:rsid w:val="2ED75C91"/>
    <w:rsid w:val="412F3464"/>
    <w:rsid w:val="56704E63"/>
    <w:rsid w:val="583A29B2"/>
    <w:rsid w:val="668D0FD3"/>
    <w:rsid w:val="675A7F68"/>
    <w:rsid w:val="74E522B4"/>
    <w:rsid w:val="75232ABD"/>
    <w:rsid w:val="77265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0"/>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HTML Preformatted"/>
    <w:basedOn w:val="1"/>
    <w:link w:val="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7">
    <w:name w:val="annotation subject"/>
    <w:basedOn w:val="2"/>
    <w:next w:val="2"/>
    <w:link w:val="17"/>
    <w:semiHidden/>
    <w:unhideWhenUsed/>
    <w:qFormat/>
    <w:uiPriority w:val="99"/>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unhideWhenUsed/>
    <w:qFormat/>
    <w:uiPriority w:val="0"/>
    <w:rPr>
      <w:sz w:val="21"/>
      <w:szCs w:val="21"/>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6">
    <w:name w:val="批注文字 Char"/>
    <w:basedOn w:val="10"/>
    <w:link w:val="2"/>
    <w:qFormat/>
    <w:uiPriority w:val="99"/>
    <w:rPr>
      <w:rFonts w:ascii="Calibri" w:hAnsi="Calibri" w:eastAsia="宋体" w:cs="宋体"/>
    </w:rPr>
  </w:style>
  <w:style w:type="character" w:customStyle="1" w:styleId="17">
    <w:name w:val="批注主题 Char"/>
    <w:basedOn w:val="16"/>
    <w:link w:val="7"/>
    <w:semiHidden/>
    <w:qFormat/>
    <w:uiPriority w:val="99"/>
    <w:rPr>
      <w:rFonts w:ascii="Calibri" w:hAnsi="Calibri" w:eastAsia="宋体" w:cs="宋体"/>
      <w:b/>
      <w:bCs/>
    </w:rPr>
  </w:style>
  <w:style w:type="character" w:customStyle="1" w:styleId="18">
    <w:name w:val="批注框文本 Char"/>
    <w:basedOn w:val="10"/>
    <w:link w:val="3"/>
    <w:semiHidden/>
    <w:qFormat/>
    <w:uiPriority w:val="99"/>
    <w:rPr>
      <w:rFonts w:ascii="Calibri" w:hAnsi="Calibri" w:eastAsia="宋体" w:cs="宋体"/>
      <w:sz w:val="18"/>
      <w:szCs w:val="18"/>
    </w:rPr>
  </w:style>
  <w:style w:type="paragraph" w:styleId="19">
    <w:name w:val="List Paragraph"/>
    <w:basedOn w:val="1"/>
    <w:qFormat/>
    <w:uiPriority w:val="34"/>
    <w:pPr>
      <w:ind w:firstLine="420" w:firstLineChars="200"/>
    </w:pPr>
  </w:style>
  <w:style w:type="character" w:customStyle="1" w:styleId="20">
    <w:name w:val="HTML 预设格式 Char"/>
    <w:basedOn w:val="10"/>
    <w:link w:val="6"/>
    <w:qFormat/>
    <w:uiPriority w:val="99"/>
    <w:rPr>
      <w:rFonts w:ascii="宋体" w:hAnsi="宋体" w:eastAsia="宋体" w:cs="宋体"/>
      <w:kern w:val="0"/>
      <w:sz w:val="24"/>
      <w:szCs w:val="2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F03B-F6E0-4584-AF92-9E99228B0A76}">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651</Words>
  <Characters>3713</Characters>
  <Lines>30</Lines>
  <Paragraphs>8</Paragraphs>
  <TotalTime>0</TotalTime>
  <ScaleCrop>false</ScaleCrop>
  <LinksUpToDate>false</LinksUpToDate>
  <CharactersWithSpaces>4356</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2024-03-04T01:43:00Z</dcterms:created>
  <dc:creator>胡骁潇</dc:creator>
  <cp:lastModifiedBy>cib</cp:lastModifiedBy>
  <dcterms:modified xsi:type="dcterms:W3CDTF">2026-03-03T02:25:12Z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4F7C0EECCFF44B99BA78A381CA2216F3_13</vt:lpwstr>
  </property>
</Properties>
</file>