
<file path=[Content_Types].xml><?xml version="1.0" encoding="utf-8"?>
<Types xmlns="http://schemas.openxmlformats.org/package/2006/content-types">
  <Default ContentType="image/jpeg" Extension="jpeg"/>
  <Default ContentType="image/.jpg" Extension="jp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customXmlProperties+xml" PartName="/customXml/itemProps7.xml"/>
  <Override ContentType="application/vnd.openxmlformats-officedocument.customXmlProperties+xml" PartName="/customXml/itemProps8.xml"/>
  <Override ContentType="application/vnd.openxmlformats-officedocument.customXmlProperties+xml" PartName="/customXml/itemProps9.xml"/>
  <Override ContentType="application/vnd.openxmlformats-officedocument.customXmlProperties+xml" PartName="/customXml/itemProps10.xml"/>
  <Override ContentType="application/vnd.openxmlformats-officedocument.customXmlProperties+xml" PartName="/customXml/itemProps11.xml"/>
  <Override ContentType="application/vnd.openxmlformats-officedocument.customXmlProperties+xml" PartName="/customXml/itemProps12.xml"/>
  <Override ContentType="application/vnd.openxmlformats-officedocument.customXmlProperties+xml" PartName="/customXml/itemProps13.xml"/>
  <Override ContentType="application/vnd.openxmlformats-officedocument.customXmlProperties+xml" PartName="/customXml/itemProps14.xml"/>
  <Override ContentType="application/vnd.openxmlformats-officedocument.customXmlProperties+xml" PartName="/customXml/itemProps15.xml"/>
  <Override ContentType="application/vnd.openxmlformats-officedocument.customXmlProperties+xml" PartName="/customXml/itemProps16.xml"/>
  <Override ContentType="application/vnd.openxmlformats-officedocument.customXmlProperties+xml" PartName="/customXml/itemProps17.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66DF66">
      <w:pPr>
        <w:widowControl/>
        <w:spacing w:line="360" w:lineRule="auto"/>
        <w:jc w:val="center"/>
        <w:rPr>
          <w:rStyle w:val="27"/>
          <w:rFonts w:ascii="宋体" w:hAnsi="宋体"/>
          <w:sz w:val="30"/>
          <w:szCs w:val="30"/>
        </w:rPr>
      </w:pPr>
      <w:r>
        <w:rPr>
          <w:rFonts w:hint="eastAsia" w:ascii="宋体" w:hAnsi="宋体"/>
          <w:b/>
          <w:sz w:val="30"/>
          <w:szCs w:val="30"/>
        </w:rPr>
        <w:t>理财非存款、产品有风险、投资须谨慎！</w:t>
      </w:r>
    </w:p>
    <w:p w14:paraId="679CDE3C">
      <w:pPr>
        <w:adjustRightInd w:val="0"/>
        <w:spacing w:line="360" w:lineRule="auto"/>
        <w:jc w:val="center"/>
        <w:rPr>
          <w:rStyle w:val="27"/>
          <w:rFonts w:ascii="宋体" w:hAnsi="宋体"/>
          <w:sz w:val="32"/>
          <w:szCs w:val="32"/>
        </w:rPr>
      </w:pPr>
    </w:p>
    <w:p w14:paraId="736D7BF5">
      <w:pPr>
        <w:adjustRightInd w:val="0"/>
        <w:spacing w:line="360" w:lineRule="auto"/>
        <w:jc w:val="center"/>
        <w:rPr>
          <w:rStyle w:val="27"/>
          <w:rFonts w:ascii="宋体" w:hAnsi="宋体"/>
          <w:sz w:val="32"/>
          <w:szCs w:val="32"/>
        </w:rPr>
      </w:pPr>
    </w:p>
    <w:p w14:paraId="6D376828">
      <w:pPr>
        <w:adjustRightInd w:val="0"/>
        <w:spacing w:line="360" w:lineRule="auto"/>
        <w:jc w:val="center"/>
        <w:rPr>
          <w:rStyle w:val="27"/>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14:paraId="598FD1D2">
      <w:pPr>
        <w:adjustRightInd w:val="0"/>
        <w:spacing w:line="360" w:lineRule="auto"/>
        <w:jc w:val="center"/>
        <w:rPr>
          <w:rStyle w:val="27"/>
          <w:rFonts w:ascii="宋体" w:hAnsi="宋体"/>
          <w:sz w:val="32"/>
          <w:szCs w:val="32"/>
        </w:rPr>
      </w:pPr>
    </w:p>
    <w:p w14:paraId="59A16067">
      <w:pPr>
        <w:adjustRightInd w:val="0"/>
        <w:spacing w:line="360" w:lineRule="auto"/>
        <w:jc w:val="center"/>
        <w:rPr>
          <w:rStyle w:val="27"/>
          <w:rFonts w:ascii="黑体" w:hAnsi="黑体" w:eastAsia="黑体"/>
          <w:sz w:val="44"/>
          <w:szCs w:val="44"/>
        </w:rPr>
      </w:pPr>
      <w:permStart w:id="0" w:edGrp="everyone"/>
      <w:r>
        <w:rPr>
          <w:rStyle w:val="27"/>
          <w:rFonts w:hint="eastAsia" w:ascii="黑体" w:hAnsi="黑体" w:eastAsia="黑体"/>
          <w:sz w:val="44"/>
          <w:szCs w:val="44"/>
        </w:rPr>
        <w:t>兴银理财【稳利安盈封闭式】理财产品</w:t>
      </w:r>
      <w:permEnd w:id="0"/>
    </w:p>
    <w:p w14:paraId="6E7349DF">
      <w:pPr>
        <w:adjustRightInd w:val="0"/>
        <w:spacing w:line="360" w:lineRule="auto"/>
        <w:jc w:val="center"/>
        <w:rPr>
          <w:rStyle w:val="27"/>
          <w:rFonts w:ascii="黑体" w:hAnsi="黑体" w:eastAsia="黑体"/>
          <w:sz w:val="44"/>
          <w:szCs w:val="44"/>
        </w:rPr>
      </w:pPr>
      <w:r>
        <w:rPr>
          <w:rStyle w:val="27"/>
          <w:rFonts w:hint="eastAsia" w:ascii="黑体" w:hAnsi="黑体" w:eastAsia="黑体"/>
          <w:sz w:val="44"/>
          <w:szCs w:val="44"/>
        </w:rPr>
        <w:t>产品说明书</w:t>
      </w:r>
    </w:p>
    <w:p w14:paraId="19D51F3E">
      <w:pPr>
        <w:adjustRightInd w:val="0"/>
        <w:spacing w:line="360" w:lineRule="auto"/>
        <w:jc w:val="center"/>
        <w:rPr>
          <w:rStyle w:val="27"/>
          <w:rFonts w:ascii="宋体" w:hAnsi="宋体"/>
          <w:sz w:val="32"/>
          <w:szCs w:val="32"/>
        </w:rPr>
      </w:pPr>
    </w:p>
    <w:p w14:paraId="1B81B364">
      <w:pPr>
        <w:adjustRightInd w:val="0"/>
        <w:spacing w:line="360" w:lineRule="auto"/>
        <w:jc w:val="center"/>
        <w:rPr>
          <w:rStyle w:val="27"/>
          <w:rFonts w:ascii="黑体" w:hAnsi="黑体" w:eastAsia="黑体"/>
          <w:bCs w:val="0"/>
          <w:sz w:val="28"/>
          <w:szCs w:val="28"/>
        </w:rPr>
      </w:pPr>
    </w:p>
    <w:p w14:paraId="29F6CF10">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理财产品管理人：兴银理财有限责任公司</w:t>
      </w:r>
    </w:p>
    <w:p w14:paraId="2BDEFE35">
      <w:pPr>
        <w:adjustRightInd w:val="0"/>
        <w:spacing w:line="360" w:lineRule="auto"/>
        <w:jc w:val="center"/>
        <w:rPr>
          <w:rStyle w:val="27"/>
          <w:rFonts w:ascii="宋体" w:hAnsi="宋体"/>
          <w:sz w:val="32"/>
          <w:szCs w:val="32"/>
        </w:rPr>
      </w:pPr>
    </w:p>
    <w:p w14:paraId="5E281DCC">
      <w:pPr>
        <w:adjustRightInd w:val="0"/>
        <w:spacing w:line="360" w:lineRule="auto"/>
        <w:jc w:val="center"/>
        <w:rPr>
          <w:rStyle w:val="27"/>
          <w:rFonts w:ascii="宋体" w:hAnsi="宋体"/>
          <w:sz w:val="32"/>
          <w:szCs w:val="32"/>
        </w:rPr>
      </w:pPr>
    </w:p>
    <w:p w14:paraId="494E681B">
      <w:pPr>
        <w:adjustRightInd w:val="0"/>
        <w:spacing w:line="360" w:lineRule="auto"/>
        <w:jc w:val="center"/>
        <w:rPr>
          <w:rStyle w:val="27"/>
          <w:rFonts w:ascii="宋体" w:hAnsi="宋体" w:cs="Times New Roman"/>
          <w:sz w:val="32"/>
          <w:szCs w:val="32"/>
        </w:rPr>
      </w:pPr>
      <w:r>
        <w:rPr>
          <w:rStyle w:val="27"/>
          <w:rFonts w:hint="eastAsia" w:ascii="宋体" w:hAnsi="宋体" w:cs="Times New Roman"/>
          <w:sz w:val="32"/>
          <w:szCs w:val="32"/>
        </w:rPr>
        <w:t>日期</w:t>
      </w:r>
      <w:r>
        <w:rPr>
          <w:rStyle w:val="27"/>
          <w:rFonts w:ascii="宋体" w:hAnsi="宋体" w:cs="Times New Roman"/>
          <w:sz w:val="32"/>
          <w:szCs w:val="32"/>
        </w:rPr>
        <w:t>：</w:t>
      </w:r>
      <w:permStart w:id="1" w:edGrp="everyone"/>
      <w:r>
        <w:rPr>
          <w:rStyle w:val="27"/>
          <w:rFonts w:hint="eastAsia" w:ascii="宋体" w:hAnsi="宋体" w:cs="Times New Roman"/>
          <w:sz w:val="32"/>
          <w:szCs w:val="32"/>
        </w:rPr>
        <w:t>【2026】年【6】月</w:t>
      </w:r>
      <w:permEnd w:id="1"/>
    </w:p>
    <w:p w14:paraId="025F3540">
      <w:pPr>
        <w:adjustRightInd w:val="0"/>
        <w:spacing w:line="360" w:lineRule="auto"/>
        <w:jc w:val="center"/>
        <w:rPr>
          <w:rStyle w:val="27"/>
          <w:rFonts w:ascii="宋体" w:hAnsi="宋体"/>
          <w:sz w:val="32"/>
          <w:szCs w:val="32"/>
        </w:rPr>
      </w:pPr>
    </w:p>
    <w:p w14:paraId="391BD78B">
      <w:pPr>
        <w:pStyle w:val="34"/>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14:paraId="4E68BDE5">
          <w:pPr>
            <w:pStyle w:val="48"/>
            <w:spacing w:line="360" w:lineRule="auto"/>
            <w:jc w:val="center"/>
          </w:pPr>
          <w:bookmarkStart w:id="0" w:name="_Toc78276587"/>
          <w:permStart w:id="2" w:edGrp="everyone"/>
          <w:r>
            <w:rPr>
              <w:lang w:val="zh-CN"/>
            </w:rPr>
            <w:t>目录</w:t>
          </w:r>
        </w:p>
        <w:p w14:paraId="5F2B09E2">
          <w:pPr>
            <w:pStyle w:val="16"/>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"_Toc176189753" </w:instrText>
          </w:r>
          <w:r>
            <w:fldChar w:fldCharType="separate"/>
          </w:r>
          <w:r>
            <w:rPr>
              <w:rStyle w:val="29"/>
              <w:rFonts w:hint="eastAsia" w:ascii="Times New Roman"/>
            </w:rPr>
            <w:t>第一条</w:t>
          </w:r>
          <w:r>
            <w:rPr>
              <w:rStyle w:val="29"/>
              <w:rFonts w:ascii="Times New Roman"/>
            </w:rPr>
            <w:t xml:space="preserve">  </w:t>
          </w:r>
          <w:r>
            <w:rPr>
              <w:rStyle w:val="29"/>
              <w:rFonts w:hint="eastAsia" w:ascii="Times New Roman"/>
            </w:rPr>
            <w:t>释义</w:t>
          </w:r>
          <w:r>
            <w:tab/>
          </w:r>
          <w:r>
            <w:fldChar w:fldCharType="begin"/>
          </w:r>
          <w:r>
            <w:instrText xml:space="preserve"> PAGEREF _Toc176189753 \h </w:instrText>
          </w:r>
          <w:r>
            <w:fldChar w:fldCharType="separate"/>
          </w:r>
          <w:r>
            <w:t>3</w:t>
          </w:r>
          <w:r>
            <w:fldChar w:fldCharType="end"/>
          </w:r>
          <w:r>
            <w:fldChar w:fldCharType="end"/>
          </w:r>
        </w:p>
        <w:p w14:paraId="146C98DF">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"_Toc176189754" </w:instrText>
          </w:r>
          <w:r>
            <w:fldChar w:fldCharType="separate"/>
          </w:r>
          <w:r>
            <w:rPr>
              <w:rStyle w:val="29"/>
              <w:rFonts w:hint="eastAsia" w:hAnsi="宋体"/>
            </w:rPr>
            <w:t>第二条</w:t>
          </w:r>
          <w:r>
            <w:rPr>
              <w:rStyle w:val="29"/>
              <w:rFonts w:hAnsi="宋体"/>
            </w:rPr>
            <w:t xml:space="preserve">  </w:t>
          </w:r>
          <w:r>
            <w:rPr>
              <w:rStyle w:val="29"/>
              <w:rFonts w:hint="eastAsia" w:hAnsi="宋体"/>
            </w:rPr>
            <w:t>理财产品基本情况</w:t>
          </w:r>
          <w:r>
            <w:tab/>
          </w:r>
          <w:r>
            <w:fldChar w:fldCharType="begin"/>
          </w:r>
          <w:r>
            <w:instrText xml:space="preserve"> PAGEREF _Toc176189754 \h </w:instrText>
          </w:r>
          <w:r>
            <w:fldChar w:fldCharType="separate"/>
          </w:r>
          <w:r>
            <w:t>8</w:t>
          </w:r>
          <w:r>
            <w:fldChar w:fldCharType="end"/>
          </w:r>
          <w:r>
            <w:fldChar w:fldCharType="end"/>
          </w:r>
        </w:p>
        <w:p w14:paraId="16D0B390">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"_Toc176189755" </w:instrText>
          </w:r>
          <w:r>
            <w:fldChar w:fldCharType="separate"/>
          </w:r>
          <w:r>
            <w:rPr>
              <w:rStyle w:val="29"/>
              <w:rFonts w:hint="eastAsia" w:ascii="Times New Roman"/>
            </w:rPr>
            <w:t>第三条</w:t>
          </w:r>
          <w:r>
            <w:rPr>
              <w:rStyle w:val="29"/>
              <w:rFonts w:ascii="Times New Roman"/>
            </w:rPr>
            <w:t xml:space="preserve">  </w:t>
          </w:r>
          <w:r>
            <w:rPr>
              <w:rStyle w:val="29"/>
              <w:rFonts w:hint="eastAsia" w:ascii="Times New Roman"/>
            </w:rPr>
            <w:t>理财产品的认购</w:t>
          </w:r>
          <w:r>
            <w:tab/>
          </w:r>
          <w:r>
            <w:fldChar w:fldCharType="begin"/>
          </w:r>
          <w:r>
            <w:instrText xml:space="preserve"> PAGEREF _Toc176189755 \h </w:instrText>
          </w:r>
          <w:r>
            <w:fldChar w:fldCharType="separate"/>
          </w:r>
          <w:r>
            <w:t>13</w:t>
          </w:r>
          <w:r>
            <w:fldChar w:fldCharType="end"/>
          </w:r>
          <w:r>
            <w:fldChar w:fldCharType="end"/>
          </w:r>
        </w:p>
        <w:p w14:paraId="17DF427D">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"_Toc176189756" </w:instrText>
          </w:r>
          <w:r>
            <w:fldChar w:fldCharType="separate"/>
          </w:r>
          <w:r>
            <w:rPr>
              <w:rStyle w:val="29"/>
              <w:rFonts w:hint="eastAsia" w:ascii="Times New Roman"/>
            </w:rPr>
            <w:t>第四条</w:t>
          </w:r>
          <w:r>
            <w:rPr>
              <w:rStyle w:val="29"/>
              <w:rFonts w:ascii="Times New Roman"/>
            </w:rPr>
            <w:t xml:space="preserve">  </w:t>
          </w:r>
          <w:r>
            <w:rPr>
              <w:rStyle w:val="29"/>
              <w:rFonts w:hint="eastAsia" w:ascii="Times New Roman"/>
            </w:rPr>
            <w:t>理财产品的申购与赎回</w:t>
          </w:r>
          <w:r>
            <w:tab/>
          </w:r>
          <w:r>
            <w:fldChar w:fldCharType="begin"/>
          </w:r>
          <w:r>
            <w:instrText xml:space="preserve"> PAGEREF _Toc176189756 \h </w:instrText>
          </w:r>
          <w:r>
            <w:fldChar w:fldCharType="separate"/>
          </w:r>
          <w:r>
            <w:t>15</w:t>
          </w:r>
          <w:r>
            <w:fldChar w:fldCharType="end"/>
          </w:r>
          <w:r>
            <w:fldChar w:fldCharType="end"/>
          </w:r>
        </w:p>
        <w:p w14:paraId="518D5574">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"_Toc176189757" </w:instrText>
          </w:r>
          <w:r>
            <w:fldChar w:fldCharType="separate"/>
          </w:r>
          <w:r>
            <w:rPr>
              <w:rStyle w:val="29"/>
              <w:rFonts w:hint="eastAsia" w:ascii="Times New Roman"/>
            </w:rPr>
            <w:t>第五条</w:t>
          </w:r>
          <w:r>
            <w:rPr>
              <w:rStyle w:val="29"/>
              <w:rFonts w:ascii="Times New Roman"/>
            </w:rPr>
            <w:t xml:space="preserve">  </w:t>
          </w:r>
          <w:r>
            <w:rPr>
              <w:rStyle w:val="29"/>
              <w:rFonts w:hint="eastAsia" w:ascii="Times New Roman"/>
            </w:rPr>
            <w:t>理财产品的投资</w:t>
          </w:r>
          <w:r>
            <w:tab/>
          </w:r>
          <w:r>
            <w:fldChar w:fldCharType="begin"/>
          </w:r>
          <w:r>
            <w:instrText xml:space="preserve"> PAGEREF _Toc176189757 \h </w:instrText>
          </w:r>
          <w:r>
            <w:fldChar w:fldCharType="separate"/>
          </w:r>
          <w:r>
            <w:t>16</w:t>
          </w:r>
          <w:r>
            <w:fldChar w:fldCharType="end"/>
          </w:r>
          <w:r>
            <w:fldChar w:fldCharType="end"/>
          </w:r>
        </w:p>
        <w:p w14:paraId="32B1325E">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"_Toc176189758" </w:instrText>
          </w:r>
          <w:r>
            <w:fldChar w:fldCharType="separate"/>
          </w:r>
          <w:r>
            <w:rPr>
              <w:rStyle w:val="29"/>
              <w:rFonts w:hint="eastAsia" w:ascii="Times New Roman"/>
            </w:rPr>
            <w:t>第六条</w:t>
          </w:r>
          <w:r>
            <w:rPr>
              <w:rStyle w:val="29"/>
              <w:rFonts w:ascii="Times New Roman"/>
            </w:rPr>
            <w:t xml:space="preserve">  </w:t>
          </w:r>
          <w:r>
            <w:rPr>
              <w:rStyle w:val="29"/>
              <w:rFonts w:hint="eastAsia" w:ascii="Times New Roman"/>
            </w:rPr>
            <w:t>理财产品的资产</w:t>
          </w:r>
          <w:r>
            <w:tab/>
          </w:r>
          <w:r>
            <w:fldChar w:fldCharType="begin"/>
          </w:r>
          <w:r>
            <w:instrText xml:space="preserve"> PAGEREF _Toc176189758 \h </w:instrText>
          </w:r>
          <w:r>
            <w:fldChar w:fldCharType="separate"/>
          </w:r>
          <w:r>
            <w:t>19</w:t>
          </w:r>
          <w:r>
            <w:fldChar w:fldCharType="end"/>
          </w:r>
          <w:r>
            <w:fldChar w:fldCharType="end"/>
          </w:r>
        </w:p>
        <w:p w14:paraId="7E9AA3EF">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"_Toc176189759" </w:instrText>
          </w:r>
          <w:r>
            <w:fldChar w:fldCharType="separate"/>
          </w:r>
          <w:r>
            <w:rPr>
              <w:rStyle w:val="29"/>
              <w:rFonts w:hint="eastAsia" w:ascii="Times New Roman"/>
            </w:rPr>
            <w:t>第七条</w:t>
          </w:r>
          <w:r>
            <w:rPr>
              <w:rStyle w:val="29"/>
              <w:rFonts w:ascii="Times New Roman"/>
            </w:rPr>
            <w:t xml:space="preserve">  </w:t>
          </w:r>
          <w:r>
            <w:rPr>
              <w:rStyle w:val="29"/>
              <w:rFonts w:hint="eastAsia" w:ascii="Times New Roman"/>
            </w:rPr>
            <w:t>理财产品项下资产的估值</w:t>
          </w:r>
          <w:r>
            <w:tab/>
          </w:r>
          <w:r>
            <w:fldChar w:fldCharType="begin"/>
          </w:r>
          <w:r>
            <w:instrText xml:space="preserve"> PAGEREF _Toc176189759 \h </w:instrText>
          </w:r>
          <w:r>
            <w:fldChar w:fldCharType="separate"/>
          </w:r>
          <w:r>
            <w:t>20</w:t>
          </w:r>
          <w:r>
            <w:fldChar w:fldCharType="end"/>
          </w:r>
          <w:r>
            <w:fldChar w:fldCharType="end"/>
          </w:r>
        </w:p>
        <w:p w14:paraId="00CAF7B6">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"_Toc176189760" </w:instrText>
          </w:r>
          <w:r>
            <w:fldChar w:fldCharType="separate"/>
          </w:r>
          <w:r>
            <w:rPr>
              <w:rStyle w:val="29"/>
              <w:rFonts w:hint="eastAsia" w:ascii="Times New Roman"/>
            </w:rPr>
            <w:t>第八条</w:t>
          </w:r>
          <w:r>
            <w:rPr>
              <w:rStyle w:val="29"/>
              <w:rFonts w:ascii="Times New Roman"/>
            </w:rPr>
            <w:t xml:space="preserve">  </w:t>
          </w:r>
          <w:r>
            <w:rPr>
              <w:rStyle w:val="29"/>
              <w:rFonts w:hint="eastAsia" w:ascii="Times New Roman"/>
            </w:rPr>
            <w:t>理财产品的利益分配</w:t>
          </w:r>
          <w:r>
            <w:tab/>
          </w:r>
          <w:r>
            <w:fldChar w:fldCharType="begin"/>
          </w:r>
          <w:r>
            <w:instrText xml:space="preserve"> PAGEREF _Toc176189760 \h </w:instrText>
          </w:r>
          <w:r>
            <w:fldChar w:fldCharType="separate"/>
          </w:r>
          <w:r>
            <w:t>24</w:t>
          </w:r>
          <w:r>
            <w:fldChar w:fldCharType="end"/>
          </w:r>
          <w:r>
            <w:fldChar w:fldCharType="end"/>
          </w:r>
        </w:p>
        <w:p w14:paraId="363FBD7C">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"_Toc176189761" </w:instrText>
          </w:r>
          <w:r>
            <w:fldChar w:fldCharType="separate"/>
          </w:r>
          <w:r>
            <w:rPr>
              <w:rStyle w:val="29"/>
              <w:rFonts w:hint="eastAsia" w:ascii="Times New Roman"/>
            </w:rPr>
            <w:t>第九条</w:t>
          </w:r>
          <w:r>
            <w:rPr>
              <w:rStyle w:val="29"/>
              <w:rFonts w:ascii="Times New Roman"/>
            </w:rPr>
            <w:t xml:space="preserve">  </w:t>
          </w:r>
          <w:r>
            <w:rPr>
              <w:rStyle w:val="29"/>
              <w:rFonts w:hint="eastAsia" w:ascii="Times New Roman"/>
            </w:rPr>
            <w:t>理财产品的费用与税收</w:t>
          </w:r>
          <w:r>
            <w:tab/>
          </w:r>
          <w:r>
            <w:fldChar w:fldCharType="begin"/>
          </w:r>
          <w:r>
            <w:instrText xml:space="preserve"> PAGEREF _Toc176189761 \h </w:instrText>
          </w:r>
          <w:r>
            <w:fldChar w:fldCharType="separate"/>
          </w:r>
          <w:r>
            <w:t>25</w:t>
          </w:r>
          <w:r>
            <w:fldChar w:fldCharType="end"/>
          </w:r>
          <w:r>
            <w:fldChar w:fldCharType="end"/>
          </w:r>
        </w:p>
        <w:p w14:paraId="57F7FF8E">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"_Toc176189762" </w:instrText>
          </w:r>
          <w:r>
            <w:fldChar w:fldCharType="separate"/>
          </w:r>
          <w:r>
            <w:rPr>
              <w:rStyle w:val="29"/>
              <w:rFonts w:hint="eastAsia"/>
            </w:rPr>
            <w:t>第十条</w:t>
          </w:r>
          <w:r>
            <w:rPr>
              <w:rStyle w:val="29"/>
            </w:rPr>
            <w:t xml:space="preserve">  </w:t>
          </w:r>
          <w:r>
            <w:rPr>
              <w:rStyle w:val="29"/>
              <w:rFonts w:hint="eastAsia"/>
            </w:rPr>
            <w:t>理财产品的终止与清算</w:t>
          </w:r>
          <w:r>
            <w:tab/>
          </w:r>
          <w:r>
            <w:fldChar w:fldCharType="begin"/>
          </w:r>
          <w:r>
            <w:instrText xml:space="preserve"> PAGEREF _Toc176189762 \h </w:instrText>
          </w:r>
          <w:r>
            <w:fldChar w:fldCharType="separate"/>
          </w:r>
          <w:r>
            <w:t>28</w:t>
          </w:r>
          <w:r>
            <w:fldChar w:fldCharType="end"/>
          </w:r>
          <w:r>
            <w:fldChar w:fldCharType="end"/>
          </w:r>
        </w:p>
        <w:p w14:paraId="2F052622">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"_Toc176189763" </w:instrText>
          </w:r>
          <w:r>
            <w:fldChar w:fldCharType="separate"/>
          </w:r>
          <w:r>
            <w:rPr>
              <w:rStyle w:val="29"/>
              <w:rFonts w:hint="eastAsia" w:ascii="Times New Roman"/>
            </w:rPr>
            <w:t>第十一条</w:t>
          </w:r>
          <w:r>
            <w:rPr>
              <w:rStyle w:val="29"/>
              <w:rFonts w:ascii="Times New Roman"/>
            </w:rPr>
            <w:t xml:space="preserve">  </w:t>
          </w:r>
          <w:r>
            <w:rPr>
              <w:rStyle w:val="29"/>
              <w:rFonts w:hint="eastAsia" w:ascii="Times New Roman"/>
            </w:rPr>
            <w:t>理财产品的信息披露</w:t>
          </w:r>
          <w:r>
            <w:tab/>
          </w:r>
          <w:r>
            <w:fldChar w:fldCharType="begin"/>
          </w:r>
          <w:r>
            <w:instrText xml:space="preserve"> PAGEREF _Toc176189763 \h </w:instrText>
          </w:r>
          <w:r>
            <w:fldChar w:fldCharType="separate"/>
          </w:r>
          <w:r>
            <w:t>30</w:t>
          </w:r>
          <w:r>
            <w:fldChar w:fldCharType="end"/>
          </w:r>
          <w:r>
            <w:fldChar w:fldCharType="end"/>
          </w:r>
        </w:p>
        <w:p w14:paraId="73A09BFA">
          <w:pPr>
            <w:pStyle w:val="16"/>
            <w:tabs>
              <w:tab w:val="right" w:leader="dot" w:pos="8296"/>
            </w:tabs>
            <w:rPr>
              <w:rFonts w:asciiTheme="minorHAnsi" w:hAnsiTheme="minorHAnsi" w:eastAsiaTheme="minorEastAsia" w:cstheme="minorBidi"/>
              <w:kern w:val="2"/>
              <w:sz w:val="21"/>
            </w:rPr>
          </w:pPr>
          <w:r>
            <w:fldChar w:fldCharType="begin"/>
          </w:r>
          <w:r>
            <w:instrText xml:space="preserve"> HYPERLINK \l "_Toc176189764" </w:instrText>
          </w:r>
          <w:r>
            <w:fldChar w:fldCharType="separate"/>
          </w:r>
          <w:r>
            <w:rPr>
              <w:rStyle w:val="29"/>
              <w:rFonts w:hint="eastAsia" w:ascii="Times New Roman"/>
            </w:rPr>
            <w:t>第十二条</w:t>
          </w:r>
          <w:r>
            <w:rPr>
              <w:rStyle w:val="29"/>
              <w:rFonts w:ascii="Times New Roman"/>
            </w:rPr>
            <w:t xml:space="preserve">  </w:t>
          </w:r>
          <w:r>
            <w:rPr>
              <w:rStyle w:val="29"/>
              <w:rFonts w:hint="eastAsia" w:ascii="Times New Roman"/>
            </w:rPr>
            <w:t>理财产品的风险揭示</w:t>
          </w:r>
          <w:r>
            <w:tab/>
          </w:r>
          <w:r>
            <w:fldChar w:fldCharType="begin"/>
          </w:r>
          <w:r>
            <w:instrText xml:space="preserve"> PAGEREF _Toc176189764 \h </w:instrText>
          </w:r>
          <w:r>
            <w:fldChar w:fldCharType="separate"/>
          </w:r>
          <w:r>
            <w:t>32</w:t>
          </w:r>
          <w:r>
            <w:fldChar w:fldCharType="end"/>
          </w:r>
          <w:r>
            <w:fldChar w:fldCharType="end"/>
          </w:r>
        </w:p>
        <w:p w14:paraId="47E81DFC">
          <w:pPr>
            <w:spacing w:line="360" w:lineRule="auto"/>
          </w:pPr>
          <w:r>
            <w:fldChar w:fldCharType="end"/>
          </w:r>
        </w:p>
      </w:sdtContent>
    </w:sdt>
    <w:permEnd w:id="2"/>
    <w:p w14:paraId="4EA4F3CF">
      <w:pPr>
        <w:rPr>
          <w:rFonts w:ascii="Times New Roman"/>
          <w:sz w:val="30"/>
        </w:rPr>
      </w:pPr>
      <w:r>
        <w:rPr>
          <w:rFonts w:ascii="Times New Roman"/>
          <w:sz w:val="30"/>
        </w:rPr>
        <w:br w:type="page"/>
      </w:r>
    </w:p>
    <w:p w14:paraId="359DF047">
      <w:pPr>
        <w:pStyle w:val="2"/>
        <w:spacing w:before="0" w:after="0" w:line="360" w:lineRule="auto"/>
        <w:jc w:val="center"/>
        <w:rPr>
          <w:rFonts w:ascii="Times New Roman"/>
          <w:sz w:val="30"/>
        </w:rPr>
      </w:pPr>
      <w:bookmarkStart w:id="1" w:name="_Toc176189753"/>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p>
    <w:p w14:paraId="392468F0">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14:paraId="107B5500">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14:paraId="3276E0B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14:paraId="0DBD1A51">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w:t>
      </w:r>
      <w:permStart w:id="3" w:edGrp="everyone"/>
      <w:r>
        <w:rPr>
          <w:rFonts w:hint="eastAsia" w:asciiTheme="majorEastAsia" w:hAnsiTheme="majorEastAsia" w:eastAsiaTheme="majorEastAsia"/>
          <w:bCs/>
          <w:color w:val="auto"/>
          <w:sz w:val="18"/>
          <w:szCs w:val="18"/>
        </w:rPr>
        <w:t>指兴业银行股份有限公司（以下简称“兴业银行”）。兴业银行成立于1988年，于2005年开展资产托管业务，具备理财产品托管资格。托管人负责履行安全保管理财产品资金及其所投资的资产，办理清算、交割事宜，与管理人对账，监督理财产品投资运作等职责。</w:t>
      </w:r>
      <w:permEnd w:id="3"/>
      <w:r>
        <w:rPr>
          <w:rFonts w:asciiTheme="majorEastAsia" w:hAnsiTheme="majorEastAsia" w:eastAsiaTheme="majorEastAsia"/>
          <w:bCs/>
          <w:color w:val="auto"/>
          <w:sz w:val="18"/>
          <w:szCs w:val="18"/>
        </w:rPr>
        <w:t xml:space="preserve"> </w:t>
      </w:r>
    </w:p>
    <w:p w14:paraId="62879AA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14:paraId="3212AD8B">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国家金融监督管理总局认定的其他业务活动</w:t>
      </w:r>
      <w:r>
        <w:rPr>
          <w:rFonts w:asciiTheme="majorEastAsia" w:hAnsiTheme="majorEastAsia" w:eastAsiaTheme="majorEastAsia"/>
          <w:bCs/>
          <w:color w:val="auto"/>
          <w:sz w:val="18"/>
          <w:szCs w:val="18"/>
        </w:rPr>
        <w:t>。各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14:paraId="600CFEFB">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14:paraId="5E091886">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14:paraId="1CA5D134">
      <w:pPr>
        <w:pStyle w:val="34"/>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14:paraId="320011CD">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14:paraId="5FA7F8E4">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14:paraId="26ABCB3F">
      <w:pPr>
        <w:pStyle w:val="34"/>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（6）专业投资者：根据监管规定，指符合下列条件之一的投资者：</w:t>
      </w:r>
    </w:p>
    <w:p w14:paraId="669C822D">
      <w:pPr>
        <w:pStyle w:val="34"/>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1）银行业金融机构、保险业金融机构、金融控股公司、证券基金期货经营机构、私募基金管理人；</w:t>
      </w:r>
    </w:p>
    <w:p w14:paraId="1F57B6A2">
      <w:pPr>
        <w:pStyle w:val="34"/>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2）上述机构面向投资者发行的金融产品，信托公司管理的资产服务信托、公益慈善信托；</w:t>
      </w:r>
    </w:p>
    <w:p w14:paraId="349C693B">
      <w:pPr>
        <w:pStyle w:val="34"/>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3）社会保障基金、企业年金、职业年金等养老基金，慈善基金等社会公益基金，合格境外机构投资者（QFII）、人民币合格境外机构投资者（RQFII）。</w:t>
      </w:r>
    </w:p>
    <w:p w14:paraId="77988D96">
      <w:pPr>
        <w:pStyle w:val="34"/>
        <w:spacing w:line="360" w:lineRule="auto"/>
        <w:ind w:firstLine="360" w:firstLineChars="200"/>
        <w:rPr>
          <w:rFonts w:hint="eastAsia"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（7）普通投资者：专业投资者之外的投资者为普通投资者。</w:t>
      </w:r>
    </w:p>
    <w:p w14:paraId="4EC5155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8</w:t>
      </w:r>
      <w:r>
        <w:rPr>
          <w:rFonts w:hint="eastAsia" w:asciiTheme="majorEastAsia" w:hAnsiTheme="majorEastAsia" w:eastAsiaTheme="majorEastAsia"/>
          <w:bCs/>
          <w:color w:val="auto"/>
          <w:sz w:val="18"/>
          <w:szCs w:val="18"/>
        </w:rPr>
        <w:t>）全国银行业理财信息登记系统：指供商业银行及商业银行理财公司进行理财产品电子化报告和信息登记的电子信息系统。</w:t>
      </w:r>
    </w:p>
    <w:p w14:paraId="74687D91">
      <w:pPr>
        <w:pStyle w:val="34"/>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14:paraId="26896BDF">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w:t>
      </w:r>
      <w:permStart w:id="4"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4"/>
      <w:r>
        <w:rPr>
          <w:rFonts w:hint="eastAsia" w:asciiTheme="majorEastAsia" w:hAnsiTheme="majorEastAsia" w:eastAsiaTheme="majorEastAsia"/>
          <w:bCs/>
          <w:sz w:val="18"/>
          <w:szCs w:val="18"/>
        </w:rPr>
        <w:t>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14:paraId="39453D16">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w:t>
      </w:r>
      <w:permStart w:id="5"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5"/>
      <w:r>
        <w:rPr>
          <w:rFonts w:hint="eastAsia" w:asciiTheme="majorEastAsia" w:hAnsiTheme="majorEastAsia" w:eastAsiaTheme="majorEastAsia"/>
          <w:bCs/>
          <w:sz w:val="18"/>
          <w:szCs w:val="18"/>
        </w:rPr>
        <w:t>投资协议书》，以及对该文件的有效修改或补充。</w:t>
      </w:r>
    </w:p>
    <w:p w14:paraId="76D8286A">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w:t>
      </w:r>
      <w:permStart w:id="6"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6"/>
      <w:r>
        <w:rPr>
          <w:rFonts w:hint="eastAsia" w:asciiTheme="majorEastAsia" w:hAnsiTheme="majorEastAsia" w:eastAsiaTheme="majorEastAsia"/>
          <w:bCs/>
          <w:sz w:val="18"/>
          <w:szCs w:val="18"/>
        </w:rPr>
        <w:t>产品说明书》，以及对该文件的有效修改或补充。</w:t>
      </w:r>
    </w:p>
    <w:p w14:paraId="5CF96ABD">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w:t>
      </w:r>
      <w:permStart w:id="7"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7"/>
      <w:r>
        <w:rPr>
          <w:rFonts w:hint="eastAsia" w:asciiTheme="majorEastAsia" w:hAnsiTheme="majorEastAsia" w:eastAsiaTheme="majorEastAsia"/>
          <w:bCs/>
          <w:sz w:val="18"/>
          <w:szCs w:val="18"/>
        </w:rPr>
        <w:t>（代理）销售协议书》或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w:t>
      </w:r>
      <w:permStart w:id="8"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8"/>
      <w:r>
        <w:rPr>
          <w:rFonts w:hint="eastAsia" w:asciiTheme="majorEastAsia" w:hAnsiTheme="majorEastAsia" w:eastAsiaTheme="majorEastAsia"/>
          <w:bCs/>
          <w:sz w:val="18"/>
          <w:szCs w:val="18"/>
        </w:rPr>
        <w:t>（代理）销售协议书》（文件名称以代理销售机构实际编制为准），以及对该文件的有效修改或补充。</w:t>
      </w:r>
    </w:p>
    <w:p w14:paraId="61C57030">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w:t>
      </w:r>
      <w:permStart w:id="9"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9"/>
      <w:r>
        <w:rPr>
          <w:rFonts w:hint="eastAsia" w:asciiTheme="majorEastAsia" w:hAnsiTheme="majorEastAsia" w:eastAsiaTheme="majorEastAsia"/>
          <w:bCs/>
          <w:sz w:val="18"/>
          <w:szCs w:val="18"/>
        </w:rPr>
        <w:t>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w:t>
      </w:r>
      <w:permStart w:id="10"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10"/>
      <w:r>
        <w:rPr>
          <w:rFonts w:hint="eastAsia" w:asciiTheme="majorEastAsia" w:hAnsiTheme="majorEastAsia" w:eastAsiaTheme="majorEastAsia"/>
          <w:bCs/>
          <w:sz w:val="18"/>
          <w:szCs w:val="18"/>
        </w:rPr>
        <w:t>风险揭示书》（文件名称以代理销售机构实际编制为准），以及对该文件的有效修改或补充。</w:t>
      </w:r>
    </w:p>
    <w:p w14:paraId="5F10E4F3">
      <w:pPr>
        <w:pStyle w:val="34"/>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w:t>
      </w:r>
      <w:permStart w:id="11"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11"/>
      <w:r>
        <w:rPr>
          <w:rFonts w:hint="eastAsia" w:asciiTheme="majorEastAsia" w:hAnsiTheme="majorEastAsia" w:eastAsiaTheme="majorEastAsia"/>
          <w:bCs/>
          <w:sz w:val="18"/>
          <w:szCs w:val="18"/>
        </w:rPr>
        <w:t>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w:t>
      </w:r>
      <w:permStart w:id="12" w:edGrp="everyone"/>
      <w:r>
        <w:rPr>
          <w:rFonts w:hint="eastAsia" w:asciiTheme="majorEastAsia" w:hAnsiTheme="majorEastAsia" w:eastAsiaTheme="majorEastAsia"/>
          <w:bCs/>
          <w:sz w:val="18"/>
          <w:szCs w:val="18"/>
        </w:rPr>
        <w:t>兴银理财【</w:t>
      </w:r>
      <w:r>
        <w:rPr>
          <w:rFonts w:hint="eastAsia" w:asciiTheme="majorEastAsia" w:hAnsiTheme="majorEastAsia" w:eastAsiaTheme="majorEastAsia"/>
          <w:bCs/>
          <w:sz w:val="18"/>
          <w:szCs w:val="18"/>
          <w:lang w:val="en-US" w:eastAsia="zh-CN"/>
        </w:rPr>
        <w:t>稳利安盈封闭式</w:t>
      </w:r>
      <w:r>
        <w:rPr>
          <w:rFonts w:hint="eastAsia" w:asciiTheme="majorEastAsia" w:hAnsiTheme="majorEastAsia" w:eastAsiaTheme="majorEastAsia"/>
          <w:bCs/>
          <w:sz w:val="18"/>
          <w:szCs w:val="18"/>
        </w:rPr>
        <w:t>】理财产品</w:t>
      </w:r>
      <w:permEnd w:id="12"/>
      <w:r>
        <w:rPr>
          <w:rFonts w:hint="eastAsia" w:asciiTheme="majorEastAsia" w:hAnsiTheme="majorEastAsia" w:eastAsiaTheme="majorEastAsia"/>
          <w:bCs/>
          <w:sz w:val="18"/>
          <w:szCs w:val="18"/>
        </w:rPr>
        <w:t>投资者权益须知》（文件名称以代理销售机构实际编制为准），以及对该文件的有效修改或补充。</w:t>
      </w:r>
    </w:p>
    <w:p w14:paraId="3B25DF2B">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14:paraId="2AF5107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14:paraId="169806EC">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14:paraId="67ABE0A0">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为每类份额类别设置的唯一性</w:t>
      </w:r>
      <w:r>
        <w:rPr>
          <w:rFonts w:hint="eastAsia" w:asciiTheme="majorEastAsia" w:hAnsiTheme="majorEastAsia" w:eastAsiaTheme="majorEastAsia"/>
          <w:bCs/>
          <w:color w:val="auto"/>
          <w:sz w:val="18"/>
          <w:szCs w:val="18"/>
        </w:rPr>
        <w:t>内部识别码。若本款理财产品不设置差异化产品份额类别，理财产品代码即为理财产品销售代码。</w:t>
      </w:r>
    </w:p>
    <w:p w14:paraId="11A5B4D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w:t>
      </w:r>
      <w:r>
        <w:rPr>
          <w:rFonts w:asciiTheme="majorEastAsia" w:hAnsiTheme="majorEastAsia" w:eastAsiaTheme="majorEastAsia"/>
          <w:bCs/>
          <w:sz w:val="18"/>
          <w:szCs w:val="18"/>
        </w:rPr>
        <w:t>理财</w:t>
      </w:r>
      <w:r>
        <w:rPr>
          <w:rFonts w:hint="eastAsia" w:asciiTheme="majorEastAsia" w:hAnsiTheme="majorEastAsia" w:eastAsiaTheme="majorEastAsia"/>
          <w:bCs/>
          <w:sz w:val="18"/>
          <w:szCs w:val="18"/>
        </w:rPr>
        <w:t>产品通过代理销售机构销售的，理财产品评级以代理销售机构最终披露的评级结果为准。产品管理人和代理销售机构对理财产品的风险等级评估结果不一致时，代理销售机构应采用对应较高风险的评级结果。</w:t>
      </w:r>
    </w:p>
    <w:p w14:paraId="2584362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14:paraId="726522B5">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产品的投资者类型。</w:t>
      </w:r>
    </w:p>
    <w:p w14:paraId="3D34932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14:paraId="0A779AD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14:paraId="1A41D7A5">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14:paraId="2AD318A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14:paraId="055F3B7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w:t>
      </w:r>
    </w:p>
    <w:p w14:paraId="1EB25B20">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14:paraId="6F85537B">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14:paraId="0F766589">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14:paraId="7D7A363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14:paraId="372CEC48">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0）理财产品估值：指计算评估理财产品资产和理财产品负债的价值，以确定理财产品份额净值的过程。</w:t>
      </w:r>
    </w:p>
    <w:p w14:paraId="1456D0D0">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eastAsia="黑体"/>
          <w:sz w:val="18"/>
        </w:rPr>
        <w:t>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w:t>
      </w:r>
      <w:r>
        <w:rPr>
          <w:rFonts w:hint="eastAsia" w:ascii="黑体" w:hAnsi="黑体" w:eastAsia="黑体"/>
          <w:bCs/>
          <w:color w:val="auto"/>
          <w:sz w:val="18"/>
          <w:szCs w:val="18"/>
        </w:rPr>
        <w:t>投资须谨慎。</w:t>
      </w:r>
    </w:p>
    <w:p w14:paraId="68D70A70">
      <w:pPr>
        <w:pStyle w:val="34"/>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14:paraId="48CC530A">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14:paraId="5FD555C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14:paraId="364DD652">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14:paraId="5F4D8AF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14:paraId="665ECF5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14:paraId="2A762525">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18</w:t>
      </w:r>
      <w:r>
        <w:rPr>
          <w:rFonts w:hint="eastAsia" w:asciiTheme="majorEastAsia" w:hAnsiTheme="majorEastAsia" w:eastAsiaTheme="majorEastAsia"/>
          <w:bCs/>
          <w:color w:val="auto"/>
          <w:sz w:val="18"/>
          <w:szCs w:val="18"/>
        </w:rPr>
        <w:t>）申购：</w:t>
      </w:r>
      <w:r>
        <w:rPr>
          <w:rFonts w:hint="eastAsia" w:asciiTheme="minorEastAsia" w:hAnsiTheme="minorEastAsia" w:eastAsiaTheme="minorEastAsia"/>
          <w:color w:val="auto"/>
          <w:sz w:val="18"/>
          <w:szCs w:val="18"/>
        </w:rPr>
        <w:t>指开放式理财产品成立后，投资者申请购买理财产品份额的行为。</w:t>
      </w:r>
    </w:p>
    <w:p w14:paraId="750E7F5D">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14:paraId="7389CC84">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14:paraId="11693499">
      <w:pPr>
        <w:pStyle w:val="34"/>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19</w:t>
      </w:r>
      <w:r>
        <w:rPr>
          <w:rFonts w:hint="eastAsia" w:asciiTheme="majorEastAsia" w:hAnsiTheme="majorEastAsia" w:eastAsiaTheme="majorEastAsia"/>
          <w:bCs/>
          <w:color w:val="auto"/>
          <w:sz w:val="18"/>
          <w:szCs w:val="18"/>
        </w:rPr>
        <w:t>）赎回：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14:paraId="3D453F93">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14:paraId="29CA649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14:paraId="77551C3D">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14:paraId="6FA7C3E6">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工作日：指除中国法定节假日和公休日外的其他日。</w:t>
      </w:r>
    </w:p>
    <w:p w14:paraId="40681881">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w:t>
      </w:r>
      <w:r>
        <w:rPr>
          <w:color w:val="auto"/>
          <w:sz w:val="18"/>
          <w:szCs w:val="18"/>
        </w:rPr>
        <w:t>理财</w:t>
      </w:r>
      <w:r>
        <w:rPr>
          <w:rFonts w:hint="eastAsia"/>
          <w:color w:val="auto"/>
          <w:sz w:val="18"/>
          <w:szCs w:val="18"/>
        </w:rPr>
        <w:t>产品开始运作的日期。</w:t>
      </w:r>
    </w:p>
    <w:p w14:paraId="2A40F052">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w:t>
      </w:r>
      <w:r>
        <w:rPr>
          <w:color w:val="auto"/>
          <w:sz w:val="18"/>
          <w:szCs w:val="18"/>
        </w:rPr>
        <w:t>理财</w:t>
      </w:r>
      <w:r>
        <w:rPr>
          <w:rFonts w:hint="eastAsia"/>
          <w:color w:val="auto"/>
          <w:sz w:val="18"/>
          <w:szCs w:val="18"/>
        </w:rPr>
        <w:t>产品终止的日期。</w:t>
      </w:r>
    </w:p>
    <w:p w14:paraId="30F1B7A4">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14:paraId="1D1186C4">
      <w:pPr>
        <w:pStyle w:val="34"/>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理财利益</w:t>
      </w:r>
      <w:r>
        <w:rPr>
          <w:rFonts w:hint="eastAsia" w:hAnsi="宋体"/>
          <w:color w:val="auto"/>
          <w:sz w:val="18"/>
          <w:szCs w:val="18"/>
        </w:rPr>
        <w:t>的日期。</w:t>
      </w:r>
    </w:p>
    <w:p w14:paraId="457D7321">
      <w:pPr>
        <w:pStyle w:val="34"/>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14:paraId="5390CAD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14:paraId="6CAAA99F">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14:paraId="21DE2F63">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（11）产品存续期：指自理财产品成立日起，至理财产品终止日的期间。</w:t>
      </w:r>
    </w:p>
    <w:p w14:paraId="3983E629">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2）清算期：指自本理财产品终止日至投资者理财利益到账日之间的期间。</w:t>
      </w:r>
    </w:p>
    <w:p w14:paraId="30628F53">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14:paraId="7E55CDE4">
      <w:pPr>
        <w:pStyle w:val="34"/>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14:paraId="114DAB4B">
      <w:pPr>
        <w:pStyle w:val="34"/>
        <w:spacing w:line="360" w:lineRule="auto"/>
        <w:ind w:firstLine="360" w:firstLineChars="200"/>
        <w:rPr>
          <w:rFonts w:hAnsi="宋体"/>
          <w:sz w:val="18"/>
          <w:szCs w:val="18"/>
        </w:rPr>
      </w:pPr>
      <w:r>
        <w:rPr>
          <w:rFonts w:hint="eastAsia" w:asciiTheme="minorEastAsia" w:hAnsiTheme="minorEastAsia" w:eastAsiaTheme="minorEastAsia"/>
          <w:sz w:val="18"/>
          <w:szCs w:val="18"/>
        </w:rPr>
        <w:t>（</w:t>
      </w:r>
      <w:r>
        <w:rPr>
          <w:rFonts w:asciiTheme="minorEastAsia" w:hAnsiTheme="minorEastAsia" w:eastAsiaTheme="minorEastAsia"/>
          <w:sz w:val="18"/>
          <w:szCs w:val="18"/>
        </w:rPr>
        <w:t>2）</w:t>
      </w:r>
      <w:r>
        <w:rPr>
          <w:rFonts w:hint="eastAsia" w:cs="仿宋_GB2312" w:asciiTheme="minorEastAsia" w:hAnsiTheme="minorEastAsia" w:eastAsiaTheme="minorEastAsia"/>
          <w:bCs/>
          <w:color w:val="auto"/>
          <w:sz w:val="18"/>
          <w:szCs w:val="18"/>
        </w:rPr>
        <w:t>★</w:t>
      </w:r>
      <w:r>
        <w:rPr>
          <w:rFonts w:hint="eastAsia" w:asciiTheme="minorEastAsia" w:hAnsiTheme="minorEastAsia" w:eastAsiaTheme="minorEastAsia"/>
          <w:sz w:val="18"/>
          <w:szCs w:val="18"/>
        </w:rPr>
        <w:t>销售服务费：指</w:t>
      </w:r>
      <w:r>
        <w:rPr>
          <w:rFonts w:hint="eastAsia" w:hAnsi="宋体"/>
          <w:sz w:val="18"/>
          <w:szCs w:val="18"/>
        </w:rPr>
        <w:t>因理财产品销售行为产生的费用。</w:t>
      </w:r>
    </w:p>
    <w:p w14:paraId="7D66C610">
      <w:pPr>
        <w:pStyle w:val="34"/>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14:paraId="2CF81F61">
      <w:pPr>
        <w:pStyle w:val="34"/>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14:paraId="4A0326A1">
      <w:pPr>
        <w:pStyle w:val="34"/>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14:paraId="490B8FEF">
      <w:pPr>
        <w:pStyle w:val="34"/>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14:paraId="70D05897">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14:paraId="1E65EA98">
      <w:pPr>
        <w:pStyle w:val="34"/>
        <w:spacing w:line="360" w:lineRule="auto"/>
        <w:ind w:firstLine="360" w:firstLineChars="200"/>
        <w:rPr>
          <w:rFonts w:hAnsi="宋体"/>
          <w:sz w:val="28"/>
          <w:szCs w:val="2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r>
        <w:rPr>
          <w:rFonts w:hAnsi="宋体"/>
          <w:sz w:val="28"/>
          <w:szCs w:val="28"/>
        </w:rPr>
        <w:br w:type="page"/>
      </w:r>
    </w:p>
    <w:p w14:paraId="300CF2E2">
      <w:pPr>
        <w:pStyle w:val="2"/>
        <w:spacing w:before="0" w:after="0" w:line="360" w:lineRule="auto"/>
        <w:jc w:val="center"/>
        <w:rPr>
          <w:rFonts w:hAnsi="宋体"/>
          <w:sz w:val="28"/>
          <w:szCs w:val="28"/>
        </w:rPr>
      </w:pPr>
      <w:bookmarkStart w:id="2" w:name="_Toc176189754"/>
      <w:bookmarkStart w:id="3" w:name="_Toc79154665"/>
      <w:r>
        <w:rPr>
          <w:rFonts w:hint="eastAsia" w:hAnsi="宋体"/>
          <w:sz w:val="28"/>
          <w:szCs w:val="28"/>
        </w:rPr>
        <w:t>第二条  理财产品基本情况</w:t>
      </w:r>
      <w:bookmarkEnd w:id="2"/>
      <w:bookmarkEnd w:id="3"/>
      <w:r>
        <w:rPr>
          <w:rFonts w:hint="eastAsia" w:hAnsi="宋体"/>
          <w:sz w:val="28"/>
          <w:szCs w:val="28"/>
        </w:rPr>
        <w:t xml:space="preserve"> </w:t>
      </w:r>
    </w:p>
    <w:tbl>
      <w:tblPr>
        <w:tblStyle w:val="24"/>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70"/>
        <w:gridCol w:w="7674"/>
      </w:tblGrid>
      <w:tr w14:paraId="7C5E50A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401" w:hRule="atLeast"/>
          <w:jc w:val="center"/>
        </w:trPr>
        <w:tc>
          <w:tcPr>
            <w:tcW w:w="1970" w:type="dxa"/>
            <w:shd w:val="solid" w:color="FFFFFF" w:fill="FFFFFF"/>
          </w:tcPr>
          <w:p w14:paraId="59D66787">
            <w:pPr>
              <w:spacing w:line="360" w:lineRule="auto"/>
              <w:jc w:val="left"/>
              <w:rPr>
                <w:rFonts w:ascii="宋体" w:hAnsi="宋体"/>
                <w:b/>
                <w:bCs/>
                <w:sz w:val="18"/>
                <w:szCs w:val="18"/>
              </w:rPr>
            </w:pPr>
            <w:permStart w:id="13" w:edGrp="everyone"/>
            <w:r>
              <w:rPr>
                <w:rFonts w:hint="eastAsia" w:hAnsi="宋体"/>
                <w:sz w:val="18"/>
                <w:szCs w:val="18"/>
              </w:rPr>
              <w:t>★</w:t>
            </w:r>
            <w:r>
              <w:rPr>
                <w:rFonts w:hint="eastAsia" w:ascii="宋体" w:hAnsi="宋体"/>
                <w:b/>
                <w:bCs/>
                <w:sz w:val="18"/>
                <w:szCs w:val="18"/>
              </w:rPr>
              <w:t>理财产品名称</w:t>
            </w:r>
          </w:p>
        </w:tc>
        <w:tc>
          <w:tcPr>
            <w:tcW w:w="7674" w:type="dxa"/>
            <w:shd w:val="solid" w:color="FFFFFF" w:fill="FFFFFF"/>
            <w:vAlign w:val="top"/>
          </w:tcPr>
          <w:p w14:paraId="4B782B91">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宋体" w:hAnsi="宋体" w:eastAsia="宋体" w:cs="宋体"/>
                <w:bCs/>
                <w:kern w:val="0"/>
                <w:sz w:val="18"/>
                <w:szCs w:val="18"/>
                <w:lang w:val="en-US" w:eastAsia="zh-CN" w:bidi="ar"/>
              </w:rPr>
              <w:t>【兴银理财稳利安盈封闭式2026年475期固收类理财产品】</w:t>
            </w:r>
          </w:p>
        </w:tc>
      </w:tr>
      <w:tr w14:paraId="0305AAD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70" w:type="dxa"/>
            <w:shd w:val="solid" w:color="FFFFFF" w:fill="FFFFFF"/>
          </w:tcPr>
          <w:p w14:paraId="576DBC52">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74" w:type="dxa"/>
            <w:shd w:val="solid" w:color="FFFFFF" w:fill="FFFFFF"/>
            <w:vAlign w:val="top"/>
          </w:tcPr>
          <w:p w14:paraId="709BC4CE">
            <w:pPr>
              <w:keepNext w:val="0"/>
              <w:keepLines w:val="0"/>
              <w:widowControl/>
              <w:suppressLineNumbers w:val="0"/>
              <w:spacing w:before="0" w:beforeAutospacing="0" w:after="0" w:afterAutospacing="0" w:line="360" w:lineRule="auto"/>
              <w:ind w:left="0" w:leftChars="0" w:right="0" w:rightChars="0"/>
              <w:jc w:val="left"/>
              <w:rPr>
                <w:rFonts w:ascii="宋体" w:hAnsi="宋体"/>
                <w:kern w:val="0"/>
                <w:sz w:val="22"/>
              </w:rPr>
            </w:pPr>
            <w:r>
              <w:rPr>
                <w:rFonts w:ascii="宋体" w:hAnsi="宋体" w:cs="宋体" w:eastAsia="宋体"/>
                <w:sz w:val="18"/>
              </w:rPr>
              <w:t>【稳利安盈2026年475期A】 (适用【A】类份额)</w:t>
              <w:br/>
            </w:r>
            <w:r>
              <w:rPr>
                <w:rFonts w:ascii="宋体" w:hAnsi="宋体" w:cs="宋体" w:eastAsia="宋体"/>
                <w:sz w:val="18"/>
              </w:rPr>
              <w:t>【稳利安盈2026年475期C】 (适用【C】类份额)</w:t>
              <w:br/>
            </w:r>
            <w:r>
              <w:rPr>
                <w:rFonts w:ascii="宋体" w:hAnsi="宋体" w:cs="宋体" w:eastAsia="宋体"/>
                <w:sz w:val="18"/>
              </w:rPr>
              <w:t>【稳利安盈2026年475期D】 (适用【D】类份额)</w:t>
              <w:br/>
            </w:r>
            <w:r>
              <w:rPr>
                <w:rFonts w:ascii="宋体" w:hAnsi="宋体" w:cs="宋体" w:eastAsia="宋体"/>
                <w:sz w:val="18"/>
              </w:rPr>
              <w:t>【稳利安盈2026年475期E】 (适用【E】类份额)</w:t>
              <w:br/>
            </w:r>
            <w:r>
              <w:rPr>
                <w:rFonts w:ascii="宋体" w:hAnsi="宋体" w:cs="宋体" w:eastAsia="宋体"/>
                <w:sz w:val="18"/>
              </w:rPr>
              <w:t>【稳利安盈2026年475期F】 (适用【F】类份额)</w:t>
            </w:r>
          </w:p>
        </w:tc>
      </w:tr>
      <w:tr w14:paraId="40B220D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06949751">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74" w:type="dxa"/>
            <w:shd w:val="solid" w:color="FFFFFF" w:fill="FFFFFF"/>
            <w:vAlign w:val="top"/>
          </w:tcPr>
          <w:p w14:paraId="2C72160C">
            <w:pPr>
              <w:keepNext w:val="0"/>
              <w:keepLines w:val="0"/>
              <w:suppressLineNumbers w:val="0"/>
              <w:spacing w:before="0" w:beforeAutospacing="0" w:after="0" w:afterAutospacing="0" w:line="360" w:lineRule="auto"/>
              <w:ind w:left="0" w:leftChars="0" w:right="0" w:rightChars="0"/>
              <w:jc w:val="left"/>
              <w:rPr>
                <w:rFonts w:ascii="宋体" w:hAnsi="宋体"/>
                <w:b/>
                <w:sz w:val="18"/>
                <w:szCs w:val="18"/>
              </w:rPr>
            </w:pPr>
            <w:r>
              <w:rPr>
                <w:rFonts w:hint="eastAsia" w:asciiTheme="minorEastAsia" w:hAnsiTheme="minorEastAsia"/>
                <w:sz w:val="18"/>
                <w:szCs w:val="18"/>
              </w:rPr>
              <w:t>【</w:t>
            </w:r>
            <w:r>
              <w:rPr>
                <w:rFonts w:hint="eastAsia" w:asciiTheme="minorEastAsia" w:hAnsiTheme="minorEastAsia"/>
                <w:sz w:val="18"/>
                <w:szCs w:val="18"/>
                <w:lang w:val="en-US" w:eastAsia="zh-CN"/>
              </w:rPr>
              <w:t>Z7002026001150</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hint="default" w:asciiTheme="majorEastAsia" w:hAnsiTheme="majorEastAsia" w:eastAsiaTheme="majorEastAsia"/>
                <w:sz w:val="18"/>
                <w:szCs w:val="18"/>
              </w:rPr>
              <w:t>(</w:t>
            </w:r>
            <w:r>
              <w:rPr>
                <w:rFonts w:hint="default"/>
              </w:rPr>
              <w:fldChar w:fldCharType="begin"/>
            </w:r>
            <w:r>
              <w:rPr>
                <w:rFonts w:hint="default"/>
              </w:rPr>
              <w:instrText xml:space="preserve"> HYPERLINK "http://www.chinawealth.com.cn" </w:instrText>
            </w:r>
            <w:r>
              <w:rPr>
                <w:rFonts w:hint="default"/>
              </w:rPr>
              <w:fldChar w:fldCharType="separate"/>
            </w:r>
            <w:r>
              <w:rPr>
                <w:rFonts w:hint="default" w:asciiTheme="majorEastAsia" w:hAnsiTheme="majorEastAsia" w:eastAsiaTheme="majorEastAsia"/>
                <w:sz w:val="18"/>
                <w:szCs w:val="18"/>
              </w:rPr>
              <w:t>www.chinawealth.com.cn</w:t>
            </w:r>
            <w:r>
              <w:rPr>
                <w:rFonts w:hint="default" w:asciiTheme="majorEastAsia" w:hAnsiTheme="majorEastAsia" w:eastAsiaTheme="majorEastAsia"/>
                <w:sz w:val="18"/>
                <w:szCs w:val="18"/>
              </w:rPr>
              <w:fldChar w:fldCharType="end"/>
            </w:r>
            <w:r>
              <w:rPr>
                <w:rFonts w:hint="default"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14:paraId="5D39192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0CDCE234">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74" w:type="dxa"/>
            <w:shd w:val="solid" w:color="FFFFFF" w:fill="FFFFFF"/>
            <w:vAlign w:val="center"/>
          </w:tcPr>
          <w:p w14:paraId="2CEDFC79">
            <w:pPr>
              <w:keepNext w:val="0"/>
              <w:keepLines w:val="0"/>
              <w:widowControl w:val="0"/>
              <w:suppressLineNumbers w:val="0"/>
              <w:spacing w:before="0" w:beforeAutospacing="0" w:after="0" w:afterAutospacing="0" w:line="360" w:lineRule="auto"/>
              <w:ind w:left="0" w:leftChars="0" w:right="0" w:rightChars="0"/>
              <w:jc w:val="left"/>
              <w:rPr>
                <w:rFonts w:ascii="宋体" w:hAnsi="宋体"/>
                <w:bCs/>
                <w:sz w:val="18"/>
                <w:szCs w:val="18"/>
              </w:rPr>
            </w:pPr>
            <w:r>
              <w:rPr>
                <w:rFonts w:hint="eastAsia" w:ascii="宋体" w:hAnsi="宋体" w:eastAsia="宋体" w:cs="宋体"/>
                <w:bCs/>
                <w:color w:val="000000"/>
                <w:kern w:val="2"/>
                <w:sz w:val="18"/>
                <w:szCs w:val="18"/>
                <w:lang w:val="en-US" w:eastAsia="zh-CN" w:bidi="ar"/>
              </w:rPr>
              <w:t>【9A264750】</w:t>
            </w:r>
          </w:p>
        </w:tc>
      </w:tr>
      <w:tr w14:paraId="2BAC890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tcPr>
          <w:p w14:paraId="7BFF175D">
            <w:pPr>
              <w:spacing w:line="360" w:lineRule="auto"/>
              <w:jc w:val="left"/>
              <w:rPr>
                <w:rFonts w:hAnsi="宋体"/>
                <w:b/>
                <w:sz w:val="18"/>
                <w:szCs w:val="18"/>
              </w:rPr>
            </w:pPr>
            <w:r>
              <w:rPr>
                <w:rFonts w:hint="eastAsia" w:hAnsi="宋体"/>
                <w:b/>
                <w:sz w:val="18"/>
                <w:szCs w:val="18"/>
              </w:rPr>
              <w:t>★销售代码</w:t>
            </w:r>
          </w:p>
        </w:tc>
        <w:tc>
          <w:tcPr>
            <w:tcW w:w="7674" w:type="dxa"/>
            <w:shd w:val="solid" w:color="FFFFFF" w:fill="FFFFFF"/>
            <w:vAlign w:val="top"/>
          </w:tcPr>
          <w:p w14:paraId="62C8C4D1">
            <w:pPr>
              <w:keepNext w:val="0"/>
              <w:keepLines w:val="0"/>
              <w:widowControl w:val="0"/>
              <w:suppressLineNumbers w:val="0"/>
              <w:spacing w:before="0" w:beforeAutospacing="0" w:after="0" w:afterAutospacing="0" w:line="360" w:lineRule="auto"/>
              <w:ind w:left="0" w:leftChars="0" w:right="0" w:rightChars="0"/>
              <w:jc w:val="left"/>
              <w:rPr>
                <w:rFonts w:hAnsi="宋体"/>
                <w:sz w:val="18"/>
                <w:szCs w:val="18"/>
              </w:rPr>
            </w:pPr>
            <w:r>
              <w:rPr>
                <w:rFonts w:ascii="宋体" w:hAnsi="宋体" w:cs="宋体" w:eastAsia="宋体"/>
                <w:sz w:val="18"/>
              </w:rPr>
              <w:t>【9A26475A】 (适用【A】类份额)</w:t>
              <w:br/>
            </w:r>
            <w:r>
              <w:rPr>
                <w:rFonts w:ascii="宋体" w:hAnsi="宋体" w:cs="宋体" w:eastAsia="宋体"/>
                <w:sz w:val="18"/>
              </w:rPr>
              <w:t>【9A26475C】 (适用【C】类份额)</w:t>
              <w:br/>
            </w:r>
            <w:r>
              <w:rPr>
                <w:rFonts w:ascii="宋体" w:hAnsi="宋体" w:cs="宋体" w:eastAsia="宋体"/>
                <w:sz w:val="18"/>
              </w:rPr>
              <w:t>【9A26475D】 (适用【D】类份额)</w:t>
              <w:br/>
            </w:r>
            <w:r>
              <w:rPr>
                <w:rFonts w:ascii="宋体" w:hAnsi="宋体" w:cs="宋体" w:eastAsia="宋体"/>
                <w:sz w:val="18"/>
              </w:rPr>
              <w:t>【9A26475E】 (适用【E】类份额)</w:t>
              <w:br/>
            </w:r>
            <w:r>
              <w:rPr>
                <w:rFonts w:ascii="宋体" w:hAnsi="宋体" w:cs="宋体" w:eastAsia="宋体"/>
                <w:sz w:val="18"/>
              </w:rPr>
              <w:t>【9A26475F】 (适用【F】类份额)</w:t>
            </w:r>
          </w:p>
        </w:tc>
      </w:tr>
      <w:tr w14:paraId="0879062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70" w:type="dxa"/>
            <w:shd w:val="solid" w:color="FFFFFF" w:fill="FFFFFF"/>
            <w:vAlign w:val="center"/>
          </w:tcPr>
          <w:p w14:paraId="30EDF85C">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74" w:type="dxa"/>
            <w:shd w:val="solid" w:color="FFFFFF" w:fill="FFFFFF"/>
            <w:vAlign w:val="center"/>
          </w:tcPr>
          <w:p w14:paraId="63925CFA">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14:paraId="4D97A89A">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w:t>
            </w:r>
            <w:r>
              <w:rPr>
                <w:rFonts w:ascii="宋体" w:hAnsi="宋体"/>
                <w:bCs/>
                <w:sz w:val="18"/>
                <w:szCs w:val="18"/>
              </w:rPr>
              <w:t>可能</w:t>
            </w:r>
            <w:r>
              <w:rPr>
                <w:rFonts w:hint="eastAsia" w:ascii="宋体" w:hAnsi="宋体"/>
                <w:bCs/>
                <w:sz w:val="18"/>
                <w:szCs w:val="18"/>
              </w:rPr>
              <w:t>单独设置：</w:t>
            </w:r>
          </w:p>
          <w:p w14:paraId="0C0593CB">
            <w:pPr>
              <w:spacing w:line="360" w:lineRule="auto"/>
              <w:rPr>
                <w:rFonts w:ascii="宋体" w:hAnsi="宋体"/>
                <w:bCs/>
                <w:sz w:val="18"/>
                <w:szCs w:val="18"/>
              </w:rPr>
            </w:pPr>
            <w:r>
              <w:rPr>
                <w:rFonts w:hint="eastAsia" w:ascii="宋体" w:hAnsi="宋体"/>
                <w:bCs/>
                <w:sz w:val="18"/>
                <w:szCs w:val="18"/>
              </w:rPr>
              <w:t>（1）销售名称</w:t>
            </w:r>
          </w:p>
          <w:p w14:paraId="4270A808">
            <w:pPr>
              <w:spacing w:line="360" w:lineRule="auto"/>
              <w:rPr>
                <w:rFonts w:ascii="宋体" w:hAnsi="宋体"/>
                <w:bCs/>
                <w:sz w:val="18"/>
                <w:szCs w:val="18"/>
              </w:rPr>
            </w:pPr>
            <w:r>
              <w:rPr>
                <w:rFonts w:hint="eastAsia" w:ascii="宋体" w:hAnsi="宋体"/>
                <w:bCs/>
                <w:sz w:val="18"/>
                <w:szCs w:val="18"/>
              </w:rPr>
              <w:t>（2）收费方式</w:t>
            </w:r>
          </w:p>
          <w:p w14:paraId="585A934C">
            <w:pPr>
              <w:spacing w:line="360" w:lineRule="auto"/>
              <w:rPr>
                <w:rFonts w:ascii="宋体" w:hAnsi="宋体"/>
                <w:bCs/>
                <w:sz w:val="18"/>
                <w:szCs w:val="18"/>
              </w:rPr>
            </w:pPr>
            <w:r>
              <w:rPr>
                <w:rFonts w:hint="eastAsia" w:ascii="宋体" w:hAnsi="宋体"/>
                <w:bCs/>
                <w:sz w:val="18"/>
                <w:szCs w:val="18"/>
              </w:rPr>
              <w:t>（3）销售服务费</w:t>
            </w:r>
          </w:p>
          <w:p w14:paraId="43D950DC">
            <w:pPr>
              <w:spacing w:line="360" w:lineRule="auto"/>
              <w:rPr>
                <w:rFonts w:ascii="宋体" w:hAnsi="宋体"/>
                <w:bCs/>
                <w:sz w:val="18"/>
                <w:szCs w:val="18"/>
              </w:rPr>
            </w:pPr>
            <w:r>
              <w:rPr>
                <w:rFonts w:hint="eastAsia" w:ascii="宋体" w:hAnsi="宋体"/>
                <w:bCs/>
                <w:sz w:val="18"/>
                <w:szCs w:val="18"/>
              </w:rPr>
              <w:t>（4）销售代码</w:t>
            </w:r>
          </w:p>
          <w:p w14:paraId="326FFD17">
            <w:pPr>
              <w:spacing w:line="360" w:lineRule="auto"/>
              <w:rPr>
                <w:rFonts w:ascii="宋体" w:hAnsi="宋体"/>
                <w:bCs/>
                <w:sz w:val="18"/>
                <w:szCs w:val="18"/>
              </w:rPr>
            </w:pPr>
            <w:r>
              <w:rPr>
                <w:rFonts w:hint="eastAsia" w:ascii="宋体" w:hAnsi="宋体"/>
                <w:bCs/>
                <w:sz w:val="18"/>
                <w:szCs w:val="18"/>
              </w:rPr>
              <w:t>（5）销售对象</w:t>
            </w:r>
          </w:p>
          <w:p w14:paraId="5DC875B0">
            <w:pPr>
              <w:spacing w:line="360" w:lineRule="auto"/>
              <w:rPr>
                <w:rFonts w:ascii="宋体" w:hAnsi="宋体"/>
                <w:bCs/>
                <w:sz w:val="18"/>
                <w:szCs w:val="18"/>
              </w:rPr>
            </w:pPr>
            <w:r>
              <w:rPr>
                <w:rFonts w:hint="eastAsia" w:ascii="宋体" w:hAnsi="宋体"/>
                <w:bCs/>
                <w:sz w:val="18"/>
                <w:szCs w:val="18"/>
              </w:rPr>
              <w:t>（6）销售起点金额（认购、申购的起点金额）</w:t>
            </w:r>
          </w:p>
          <w:p w14:paraId="623ACBF4">
            <w:pPr>
              <w:spacing w:line="360" w:lineRule="auto"/>
              <w:rPr>
                <w:rFonts w:ascii="宋体" w:hAnsi="宋体"/>
                <w:bCs/>
                <w:sz w:val="18"/>
                <w:szCs w:val="18"/>
              </w:rPr>
            </w:pPr>
            <w:r>
              <w:rPr>
                <w:rFonts w:hint="eastAsia" w:ascii="宋体" w:hAnsi="宋体"/>
                <w:bCs/>
                <w:sz w:val="18"/>
                <w:szCs w:val="18"/>
              </w:rPr>
              <w:t>（7）投资者认购、申购和赎回的数量限制</w:t>
            </w:r>
          </w:p>
          <w:p w14:paraId="7D87B6C4">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14:paraId="73471050">
            <w:pPr>
              <w:spacing w:line="360" w:lineRule="auto"/>
              <w:rPr>
                <w:rFonts w:ascii="宋体" w:hAnsi="宋体"/>
                <w:bCs/>
                <w:sz w:val="18"/>
                <w:szCs w:val="18"/>
              </w:rPr>
            </w:pPr>
            <w:r>
              <w:rPr>
                <w:rFonts w:hint="eastAsia" w:ascii="宋体" w:hAnsi="宋体"/>
                <w:bCs/>
                <w:sz w:val="18"/>
                <w:szCs w:val="18"/>
              </w:rPr>
              <w:t>（9）分别计算和公告产品份额净值</w:t>
            </w:r>
          </w:p>
          <w:p w14:paraId="0B9F4DFD">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14:paraId="4BF2C91D">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14:paraId="69E160F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878452C">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74" w:type="dxa"/>
            <w:shd w:val="solid" w:color="FFFFFF" w:fill="FFFFFF"/>
            <w:vAlign w:val="center"/>
          </w:tcPr>
          <w:p w14:paraId="02D287B6">
            <w:pPr>
              <w:spacing w:line="360" w:lineRule="auto"/>
              <w:rPr>
                <w:rFonts w:ascii="宋体" w:hAnsi="宋体"/>
                <w:bCs/>
                <w:sz w:val="18"/>
                <w:szCs w:val="18"/>
              </w:rPr>
            </w:pPr>
            <w:r>
              <w:rPr>
                <w:rFonts w:hint="eastAsia" w:ascii="黑体" w:hAnsi="黑体" w:eastAsia="黑体" w:cs="黑体"/>
                <w:sz w:val="18"/>
                <w:szCs w:val="18"/>
              </w:rPr>
              <w:t>公募</w:t>
            </w:r>
            <w:r>
              <w:rPr>
                <w:rFonts w:hint="eastAsia" w:ascii="黑体" w:hAnsi="黑体" w:eastAsia="黑体" w:cs="黑体"/>
                <w:bCs/>
                <w:sz w:val="18"/>
                <w:szCs w:val="18"/>
              </w:rPr>
              <w:t>、封闭式、固定收益类、非保本浮动收益、净值型</w:t>
            </w:r>
          </w:p>
        </w:tc>
      </w:tr>
      <w:tr w14:paraId="0277F1C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A93AF9B">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74" w:type="dxa"/>
            <w:shd w:val="solid" w:color="FFFFFF" w:fill="FFFFFF"/>
            <w:vAlign w:val="center"/>
          </w:tcPr>
          <w:p w14:paraId="60AE646D">
            <w:pPr>
              <w:spacing w:line="360" w:lineRule="auto"/>
              <w:rPr>
                <w:rFonts w:ascii="宋体" w:hAnsi="宋体"/>
                <w:bCs/>
                <w:sz w:val="18"/>
                <w:szCs w:val="18"/>
              </w:rPr>
            </w:pPr>
            <w:r>
              <w:rPr>
                <w:rFonts w:hint="eastAsia" w:asciiTheme="majorEastAsia" w:hAnsiTheme="majorEastAsia" w:eastAsiaTheme="majorEastAsia"/>
                <w:sz w:val="18"/>
                <w:szCs w:val="18"/>
              </w:rPr>
              <w:t>公募</w:t>
            </w:r>
          </w:p>
        </w:tc>
      </w:tr>
      <w:tr w14:paraId="500A92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8D56416">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74" w:type="dxa"/>
            <w:shd w:val="solid" w:color="FFFFFF" w:fill="FFFFFF"/>
            <w:vAlign w:val="center"/>
          </w:tcPr>
          <w:p w14:paraId="09C1270B">
            <w:pPr>
              <w:spacing w:line="360" w:lineRule="auto"/>
              <w:rPr>
                <w:rFonts w:ascii="宋体" w:hAnsi="宋体"/>
                <w:bCs/>
                <w:sz w:val="18"/>
                <w:szCs w:val="18"/>
              </w:rPr>
            </w:pPr>
            <w:r>
              <w:rPr>
                <w:rFonts w:hint="eastAsia" w:ascii="宋体" w:hAnsi="宋体"/>
                <w:bCs/>
                <w:sz w:val="18"/>
                <w:szCs w:val="18"/>
              </w:rPr>
              <w:t>封闭式</w:t>
            </w:r>
          </w:p>
        </w:tc>
      </w:tr>
      <w:tr w14:paraId="11ABFC2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68E50EA">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产品投资性质</w:t>
            </w:r>
          </w:p>
        </w:tc>
        <w:tc>
          <w:tcPr>
            <w:tcW w:w="7674" w:type="dxa"/>
            <w:shd w:val="solid" w:color="FFFFFF" w:fill="FFFFFF"/>
            <w:vAlign w:val="center"/>
          </w:tcPr>
          <w:p w14:paraId="5C2E4EB8">
            <w:pPr>
              <w:adjustRightInd w:val="0"/>
              <w:snapToGrid w:val="0"/>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固定收益类</w:t>
            </w:r>
          </w:p>
          <w:p w14:paraId="17AE7CFD">
            <w:pPr>
              <w:adjustRightInd w:val="0"/>
              <w:snapToGrid w:val="0"/>
              <w:spacing w:line="360" w:lineRule="auto"/>
              <w:rPr>
                <w:rFonts w:ascii="黑体" w:hAnsi="黑体" w:eastAsia="黑体"/>
                <w:bCs/>
                <w:sz w:val="18"/>
                <w:szCs w:val="18"/>
              </w:rPr>
            </w:pPr>
            <w:r>
              <w:rPr>
                <w:rFonts w:hint="eastAsia" w:ascii="黑体" w:hAnsi="黑体" w:eastAsia="黑体"/>
                <w:sz w:val="18"/>
                <w:szCs w:val="18"/>
              </w:rPr>
              <w:t>固定</w:t>
            </w:r>
            <w:r>
              <w:rPr>
                <w:rFonts w:ascii="黑体" w:hAnsi="黑体" w:eastAsia="黑体"/>
                <w:sz w:val="18"/>
                <w:szCs w:val="18"/>
              </w:rPr>
              <w:t>收益</w:t>
            </w:r>
            <w:r>
              <w:rPr>
                <w:rFonts w:hint="eastAsia" w:ascii="黑体" w:hAnsi="黑体" w:eastAsia="黑体"/>
                <w:sz w:val="18"/>
                <w:szCs w:val="18"/>
              </w:rPr>
              <w:t>类</w:t>
            </w:r>
            <w:r>
              <w:rPr>
                <w:rFonts w:ascii="黑体" w:hAnsi="黑体" w:eastAsia="黑体"/>
                <w:sz w:val="18"/>
                <w:szCs w:val="18"/>
              </w:rPr>
              <w:t>产品是指根据监管</w:t>
            </w:r>
            <w:r>
              <w:rPr>
                <w:rFonts w:hint="eastAsia" w:ascii="黑体" w:hAnsi="黑体" w:eastAsia="黑体"/>
                <w:sz w:val="18"/>
                <w:szCs w:val="18"/>
              </w:rPr>
              <w:t>相关规定</w:t>
            </w:r>
            <w:r>
              <w:rPr>
                <w:rFonts w:ascii="黑体" w:hAnsi="黑体" w:eastAsia="黑体"/>
                <w:sz w:val="18"/>
                <w:szCs w:val="18"/>
              </w:rPr>
              <w:t>，投资于债权类资产的</w:t>
            </w:r>
            <w:r>
              <w:rPr>
                <w:rFonts w:hint="eastAsia" w:ascii="黑体" w:hAnsi="黑体" w:eastAsia="黑体"/>
                <w:sz w:val="18"/>
                <w:szCs w:val="18"/>
              </w:rPr>
              <w:t>比例</w:t>
            </w:r>
            <w:r>
              <w:rPr>
                <w:rFonts w:ascii="黑体" w:hAnsi="黑体" w:eastAsia="黑体"/>
                <w:sz w:val="18"/>
                <w:szCs w:val="18"/>
              </w:rPr>
              <w:t>不低于80%的产品</w:t>
            </w:r>
            <w:r>
              <w:rPr>
                <w:rFonts w:hint="eastAsia" w:ascii="黑体" w:hAnsi="黑体" w:eastAsia="黑体"/>
                <w:bCs/>
                <w:sz w:val="18"/>
                <w:szCs w:val="18"/>
              </w:rPr>
              <w:t>。</w:t>
            </w:r>
          </w:p>
        </w:tc>
      </w:tr>
      <w:tr w14:paraId="6ADBA5D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2567254">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74" w:type="dxa"/>
            <w:shd w:val="solid" w:color="FFFFFF" w:fill="FFFFFF"/>
            <w:vAlign w:val="center"/>
          </w:tcPr>
          <w:p w14:paraId="11FB2B1B">
            <w:pPr>
              <w:adjustRightInd w:val="0"/>
              <w:snapToGrid w:val="0"/>
              <w:spacing w:line="360" w:lineRule="auto"/>
              <w:rPr>
                <w:rFonts w:ascii="黑体" w:hAnsi="黑体" w:eastAsia="黑体"/>
                <w:sz w:val="18"/>
                <w:szCs w:val="18"/>
              </w:rPr>
            </w:pPr>
            <w:r>
              <w:rPr>
                <w:rFonts w:hint="eastAsia" w:ascii="黑体" w:hAnsi="黑体" w:eastAsia="黑体"/>
                <w:sz w:val="18"/>
                <w:szCs w:val="18"/>
              </w:rPr>
              <w:t>非保本浮动收益</w:t>
            </w:r>
          </w:p>
          <w:p w14:paraId="62F7985A">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14:paraId="229B3649">
            <w:pPr>
              <w:adjustRightInd w:val="0"/>
              <w:snapToGrid w:val="0"/>
              <w:spacing w:line="360" w:lineRule="auto"/>
              <w:rPr>
                <w:rFonts w:asciiTheme="majorEastAsia" w:hAnsiTheme="majorEastAsia" w:eastAsiaTheme="majorEastAsia"/>
                <w:color w:val="000000" w:themeColor="text1"/>
                <w:sz w:val="18"/>
                <w:szCs w:val="18"/>
                <w14:textFill>
                  <w14:solidFill>
                    <w14:schemeClr w14:val="tx1"/>
                  </w14:solidFill>
                </w14:textFill>
              </w:rPr>
            </w:pPr>
            <w:r>
              <w:rPr>
                <w:rFonts w:hint="eastAsia" w:ascii="黑体" w:hAnsi="黑体" w:eastAsia="黑体"/>
                <w:sz w:val="18"/>
                <w:szCs w:val="18"/>
              </w:rPr>
              <w:t>产品管理人对本产品的本金并不提供保证，也不承诺任何固定收益。</w:t>
            </w:r>
          </w:p>
        </w:tc>
      </w:tr>
      <w:tr w14:paraId="73D29DE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5C09C5B">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74" w:type="dxa"/>
            <w:shd w:val="solid" w:color="FFFFFF" w:fill="FFFFFF"/>
            <w:vAlign w:val="center"/>
          </w:tcPr>
          <w:p w14:paraId="5DC3C5B3">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14:paraId="387BE53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44A9F33">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74" w:type="dxa"/>
            <w:shd w:val="solid" w:color="FFFFFF" w:fill="FFFFFF"/>
          </w:tcPr>
          <w:p w14:paraId="4D1B30A5">
            <w:pPr>
              <w:spacing w:line="360" w:lineRule="auto"/>
              <w:rPr>
                <w:rFonts w:hint="eastAsia" w:ascii="黑体" w:hAnsi="黑体" w:eastAsia="黑体" w:cs="黑体"/>
                <w:bCs/>
                <w:sz w:val="18"/>
                <w:szCs w:val="18"/>
              </w:rPr>
            </w:pPr>
            <w:r>
              <w:rPr>
                <w:rFonts w:hint="eastAsia" w:ascii="黑体" w:hAnsi="黑体" w:eastAsia="黑体" w:cs="黑体"/>
                <w:bCs/>
                <w:sz w:val="18"/>
                <w:szCs w:val="18"/>
              </w:rPr>
              <w:t>本产品属于【</w:t>
            </w:r>
            <w:r>
              <w:rPr>
                <w:rFonts w:hint="eastAsia" w:ascii="黑体" w:hAnsi="黑体" w:eastAsia="黑体" w:cs="黑体"/>
                <w:bCs/>
                <w:sz w:val="18"/>
                <w:szCs w:val="18"/>
                <w:lang w:val="en-US" w:eastAsia="zh-CN"/>
              </w:rPr>
              <w:t>■</w:t>
            </w:r>
            <w:r>
              <w:rPr>
                <w:rFonts w:hint="eastAsia" w:ascii="黑体" w:hAnsi="黑体" w:eastAsia="黑体" w:cs="黑体"/>
                <w:bCs/>
                <w:sz w:val="18"/>
                <w:szCs w:val="18"/>
              </w:rPr>
              <w:t xml:space="preserve"> R1、□ R2、□ R3、□ R4、□ R5】理财产品。</w:t>
            </w:r>
          </w:p>
          <w:p w14:paraId="45015037">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14:paraId="097B7BFA">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r>
              <w:rPr>
                <w:rFonts w:hint="eastAsia" w:ascii="黑体" w:hAnsi="黑体" w:eastAsia="黑体"/>
                <w:bCs/>
                <w:sz w:val="18"/>
                <w:szCs w:val="18"/>
              </w:rPr>
              <w:t>本产品存续期内，产品风险评级可能会根据实际情况进行调整。</w:t>
            </w:r>
          </w:p>
        </w:tc>
      </w:tr>
      <w:tr w14:paraId="2AE89B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00E3A0B">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74" w:type="dxa"/>
            <w:shd w:val="solid" w:color="FFFFFF" w:fill="FFFFFF"/>
            <w:vAlign w:val="bottom"/>
          </w:tcPr>
          <w:p w14:paraId="4E9E18BF">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14:paraId="51D199E2">
            <w:pPr>
              <w:spacing w:line="360" w:lineRule="auto"/>
              <w:rPr>
                <w:rFonts w:hint="eastAsia"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■个人投资者</w:t>
            </w:r>
          </w:p>
          <w:p w14:paraId="624B9255">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color w:val="000000" w:themeColor="text1"/>
                <w:sz w:val="18"/>
                <w:szCs w:val="18"/>
                <w:lang w:val="en-US" w:eastAsia="zh-CN"/>
                <w14:textFill>
                  <w14:solidFill>
                    <w14:schemeClr w14:val="tx1"/>
                  </w14:solidFill>
                </w14:textFill>
              </w:rPr>
              <w:t>■机构投资者</w:t>
            </w:r>
          </w:p>
        </w:tc>
      </w:tr>
      <w:tr w14:paraId="3BF5220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0926A330">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74" w:type="dxa"/>
            <w:shd w:val="solid" w:color="FFFFFF" w:fill="FFFFFF"/>
            <w:vAlign w:val="center"/>
          </w:tcPr>
          <w:p w14:paraId="655BDF67">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14:paraId="5C1DA55A">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cs="黑体"/>
                <w:sz w:val="18"/>
                <w:szCs w:val="18"/>
              </w:rPr>
              <w:t>注：当销售机构销售产品风险评级为R4及以上的理财产品时，可在销售机构的营业网点进行，也可依据销售机构的政策在营业网点之外的其他场景进行（具体政策以销售机构公布执行的为准）。</w:t>
            </w:r>
          </w:p>
        </w:tc>
      </w:tr>
      <w:tr w14:paraId="540F7E3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B14BB18">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74" w:type="dxa"/>
            <w:shd w:val="solid" w:color="FFFFFF" w:fill="FFFFFF"/>
            <w:vAlign w:val="center"/>
          </w:tcPr>
          <w:p w14:paraId="186EF4BB">
            <w:pPr>
              <w:spacing w:line="360" w:lineRule="auto"/>
              <w:jc w:val="left"/>
              <w:rPr>
                <w:rFonts w:ascii="宋体" w:hAnsi="宋体"/>
                <w:sz w:val="18"/>
                <w:szCs w:val="18"/>
              </w:rPr>
            </w:pPr>
            <w:r>
              <w:rPr>
                <w:rFonts w:hint="eastAsia" w:ascii="宋体" w:hAnsi="宋体"/>
                <w:sz w:val="18"/>
                <w:szCs w:val="18"/>
              </w:rPr>
              <w:t>□ 直销适用</w:t>
            </w:r>
          </w:p>
          <w:p w14:paraId="04B3857A">
            <w:pPr>
              <w:spacing w:line="360" w:lineRule="auto"/>
              <w:jc w:val="left"/>
              <w:rPr>
                <w:rFonts w:ascii="宋体" w:hAnsi="宋体"/>
                <w:sz w:val="18"/>
                <w:szCs w:val="18"/>
              </w:rPr>
            </w:pPr>
            <w:r>
              <w:rPr>
                <w:rFonts w:hint="eastAsia" w:ascii="宋体" w:hAnsi="宋体"/>
                <w:sz w:val="18"/>
                <w:szCs w:val="18"/>
              </w:rPr>
              <w:t>本产品由产品管理人销售。</w:t>
            </w:r>
          </w:p>
          <w:p w14:paraId="7A52DA0A">
            <w:pPr>
              <w:spacing w:line="360" w:lineRule="auto"/>
              <w:jc w:val="left"/>
              <w:rPr>
                <w:rFonts w:ascii="宋体" w:hAnsi="宋体"/>
                <w:sz w:val="18"/>
                <w:szCs w:val="18"/>
              </w:rPr>
            </w:pPr>
            <w:r>
              <w:rPr>
                <w:rFonts w:hint="eastAsia" w:ascii="宋体" w:hAnsi="宋体"/>
                <w:sz w:val="18"/>
                <w:szCs w:val="18"/>
              </w:rPr>
              <w:t>■ 代销适用</w:t>
            </w:r>
          </w:p>
          <w:p w14:paraId="1CDFA694">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14:paraId="4F67B7F5">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14:paraId="7E52BBE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2BBA4BC">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74" w:type="dxa"/>
            <w:shd w:val="solid" w:color="FFFFFF" w:fill="FFFFFF"/>
            <w:vAlign w:val="center"/>
          </w:tcPr>
          <w:p w14:paraId="04898222">
            <w:pPr>
              <w:spacing w:line="360" w:lineRule="auto"/>
              <w:rPr>
                <w:rFonts w:asciiTheme="majorEastAsia" w:hAnsiTheme="majorEastAsia" w:eastAsiaTheme="majorEastAsia"/>
                <w:bCs/>
                <w:sz w:val="18"/>
                <w:szCs w:val="18"/>
              </w:rPr>
            </w:pPr>
            <w:r>
              <w:rPr>
                <w:rFonts w:hint="eastAsia" w:ascii="黑体" w:hAnsi="黑体" w:eastAsia="黑体" w:cs="黑体"/>
                <w:bCs/>
                <w:sz w:val="18"/>
                <w:szCs w:val="18"/>
              </w:rPr>
              <w:t>兴银理财有限责任公司</w:t>
            </w:r>
          </w:p>
        </w:tc>
      </w:tr>
      <w:tr w14:paraId="4438E6A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7316886">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74" w:type="dxa"/>
            <w:shd w:val="solid" w:color="FFFFFF" w:fill="FFFFFF"/>
            <w:vAlign w:val="center"/>
          </w:tcPr>
          <w:p w14:paraId="2F306325">
            <w:pPr>
              <w:spacing w:line="360" w:lineRule="auto"/>
              <w:rPr>
                <w:rFonts w:asciiTheme="majorEastAsia" w:hAnsiTheme="majorEastAsia" w:eastAsiaTheme="majorEastAsia"/>
                <w:bCs/>
                <w:sz w:val="18"/>
                <w:szCs w:val="18"/>
              </w:rPr>
            </w:pPr>
            <w:r>
              <w:rPr>
                <w:rFonts w:hint="eastAsia"/>
              </w:rPr>
              <w:t>兴业银行股份有限公司</w:t>
            </w:r>
          </w:p>
        </w:tc>
      </w:tr>
      <w:tr w14:paraId="7D06BA1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19635ED">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74" w:type="dxa"/>
            <w:shd w:val="solid" w:color="FFFFFF" w:fill="FFFFFF"/>
            <w:vAlign w:val="center"/>
          </w:tcPr>
          <w:p w14:paraId="02C0D22A">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规模为【5】亿元，最小成立规模为【1.2】亿元。</w:t>
            </w:r>
          </w:p>
          <w:p w14:paraId="3D83FA85">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14:paraId="3E4BFBE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50A35BC5">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74" w:type="dxa"/>
            <w:shd w:val="solid" w:color="FFFFFF" w:fill="FFFFFF"/>
            <w:vAlign w:val="center"/>
          </w:tcPr>
          <w:p w14:paraId="20B57F17">
            <w:pPr>
              <w:spacing w:line="360" w:lineRule="auto"/>
              <w:rPr>
                <w:rFonts w:hint="eastAsia" w:asciiTheme="majorEastAsia" w:hAnsiTheme="majorEastAsia" w:eastAsiaTheme="majorEastAsia"/>
                <w:bCs/>
                <w:sz w:val="18"/>
                <w:szCs w:val="18"/>
                <w:lang w:val="en-US" w:eastAsia="zh-CN"/>
              </w:rPr>
            </w:pPr>
            <w:r>
              <w:rPr>
                <w:rFonts w:hint="eastAsia" w:asciiTheme="majorEastAsia" w:hAnsiTheme="majorEastAsia" w:eastAsiaTheme="majorEastAsia"/>
                <w:bCs/>
                <w:sz w:val="18"/>
                <w:szCs w:val="18"/>
                <w:lang w:val="en-US" w:eastAsia="zh-CN"/>
              </w:rPr>
              <w:t>■有固定期限:【97天】</w:t>
            </w:r>
          </w:p>
          <w:p w14:paraId="1E9EB043">
            <w:pPr>
              <w:spacing w:line="360" w:lineRule="auto"/>
              <w:rPr>
                <w:rFonts w:hint="eastAsia" w:asciiTheme="majorEastAsia" w:hAnsiTheme="majorEastAsia" w:eastAsiaTheme="majorEastAsia"/>
                <w:bCs/>
                <w:sz w:val="18"/>
                <w:szCs w:val="18"/>
                <w:lang w:val="en-US" w:eastAsia="zh-CN"/>
              </w:rPr>
            </w:pPr>
            <w:r>
              <w:rPr>
                <w:rFonts w:hint="eastAsia" w:asciiTheme="majorEastAsia" w:hAnsiTheme="majorEastAsia" w:eastAsiaTheme="majorEastAsia"/>
                <w:bCs/>
                <w:sz w:val="18"/>
                <w:szCs w:val="18"/>
                <w:lang w:val="en-US" w:eastAsia="zh-CN"/>
              </w:rPr>
              <w:t>□无固定期限</w:t>
            </w:r>
          </w:p>
          <w:p w14:paraId="3F4AC8A5">
            <w:pPr>
              <w:spacing w:line="360" w:lineRule="auto"/>
              <w:rPr>
                <w:rFonts w:asciiTheme="majorEastAsia" w:hAnsiTheme="majorEastAsia" w:eastAsiaTheme="majorEastAsia"/>
                <w:bCs/>
                <w:sz w:val="18"/>
                <w:szCs w:val="18"/>
              </w:rPr>
            </w:pPr>
            <w:r>
              <w:rPr>
                <w:rFonts w:hint="eastAsia" w:ascii="黑体" w:hAnsi="黑体" w:eastAsia="黑体"/>
                <w:bCs/>
                <w:sz w:val="18"/>
                <w:szCs w:val="18"/>
              </w:rPr>
              <w:t>注：本产品的实际期限受制于本理财产品销售文件“提前终止”及“延期终止”情形。</w:t>
            </w:r>
          </w:p>
        </w:tc>
      </w:tr>
      <w:tr w14:paraId="1DD4D5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9450F6B">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74" w:type="dxa"/>
            <w:shd w:val="solid" w:color="FFFFFF" w:fill="FFFFFF"/>
            <w:vAlign w:val="center"/>
          </w:tcPr>
          <w:p w14:paraId="3E9AD43E">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lang w:val="en-US" w:eastAsia="zh-CN"/>
              </w:rPr>
              <w:t>【2026年06月08日】【09:00】至【2026年06月16日】【17:00】</w:t>
            </w:r>
            <w:r>
              <w:rPr>
                <w:rFonts w:asciiTheme="majorEastAsia" w:hAnsiTheme="majorEastAsia" w:eastAsiaTheme="majorEastAsia"/>
                <w:sz w:val="18"/>
                <w:szCs w:val="18"/>
              </w:rPr>
              <w:t>。</w:t>
            </w:r>
          </w:p>
          <w:p w14:paraId="3B24C92F">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14:paraId="59EB9077">
            <w:pPr>
              <w:spacing w:line="360" w:lineRule="auto"/>
              <w:rPr>
                <w:rFonts w:ascii="宋体" w:hAnsi="宋体"/>
                <w:sz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r>
              <w:rPr>
                <w:rFonts w:hint="eastAsia" w:ascii="宋体" w:hAnsi="宋体"/>
                <w:sz w:val="18"/>
              </w:rPr>
              <w:t>。</w:t>
            </w:r>
          </w:p>
          <w:p w14:paraId="2B9E5363">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注：关于代理销售机构的实际工作服务时段的提示</w:t>
            </w:r>
          </w:p>
          <w:p w14:paraId="05B7F949">
            <w:pPr>
              <w:spacing w:line="360" w:lineRule="auto"/>
              <w:rPr>
                <w:rFonts w:ascii="黑体" w:hAnsi="黑体" w:eastAsia="黑体" w:cs="黑体"/>
                <w:bCs/>
                <w:color w:val="000000" w:themeColor="text1"/>
                <w:sz w:val="18"/>
                <w:szCs w:val="18"/>
                <w14:textFill>
                  <w14:solidFill>
                    <w14:schemeClr w14:val="tx1"/>
                  </w14:solidFill>
                </w14:textFill>
              </w:rPr>
            </w:pPr>
            <w:r>
              <w:rPr>
                <w:rFonts w:hint="eastAsia" w:ascii="黑体" w:hAnsi="黑体" w:eastAsia="黑体" w:cs="黑体"/>
                <w:bCs/>
                <w:color w:val="000000" w:themeColor="text1"/>
                <w:sz w:val="18"/>
                <w:szCs w:val="18"/>
                <w14:textFill>
                  <w14:solidFill>
                    <w14:schemeClr w14:val="tx1"/>
                  </w14:solidFill>
                </w14:textFill>
              </w:rPr>
              <w:t>①为本产品办理相关交易的实际工作服务时段，因代理销售机构的不同可能存在差异（可能晚于销售文件约定的起始时点开始或早于销售文件约定的终止时点结束），投资者应当以代理销售机构的展示为准。</w:t>
            </w:r>
          </w:p>
          <w:p w14:paraId="61161905">
            <w:pPr>
              <w:spacing w:line="360" w:lineRule="auto"/>
              <w:rPr>
                <w:rFonts w:asciiTheme="majorEastAsia" w:hAnsiTheme="majorEastAsia" w:eastAsiaTheme="majorEastAsia"/>
                <w:bCs/>
                <w:sz w:val="18"/>
                <w:szCs w:val="18"/>
              </w:rPr>
            </w:pPr>
            <w:r>
              <w:rPr>
                <w:rFonts w:hint="eastAsia" w:ascii="黑体" w:hAnsi="黑体" w:eastAsia="黑体" w:cs="黑体"/>
                <w:bCs/>
                <w:color w:val="000000" w:themeColor="text1"/>
                <w:sz w:val="18"/>
                <w:szCs w:val="18"/>
                <w14:textFill>
                  <w14:solidFill>
                    <w14:schemeClr w14:val="tx1"/>
                  </w14:solidFill>
                </w14:textFill>
              </w:rPr>
              <w:t>②代理销售机构的实际工作服务时段，最早不得早于销售文件约定的起始时点、最晚不得晚于销售文件约定的终止时点。</w:t>
            </w:r>
          </w:p>
        </w:tc>
      </w:tr>
      <w:tr w14:paraId="625611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7C31B00">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74" w:type="dxa"/>
            <w:shd w:val="solid" w:color="FFFFFF" w:fill="FFFFFF"/>
            <w:vAlign w:val="center"/>
          </w:tcPr>
          <w:p w14:paraId="656E1CFA">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14:paraId="4B7E4E5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B7B1A19">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74" w:type="dxa"/>
            <w:shd w:val="solid" w:color="FFFFFF" w:fill="FFFFFF"/>
            <w:vAlign w:val="center"/>
          </w:tcPr>
          <w:p w14:paraId="0C8433FD">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2026年06月17日</w:t>
            </w:r>
            <w:r>
              <w:rPr>
                <w:rFonts w:hint="eastAsia" w:cs="Times New Roman" w:asciiTheme="minorEastAsia" w:hAnsiTheme="minorEastAsia"/>
                <w:sz w:val="18"/>
                <w:szCs w:val="18"/>
              </w:rPr>
              <w:t>】（遇节假日顺延）</w:t>
            </w:r>
            <w:r>
              <w:rPr>
                <w:rFonts w:hint="eastAsia" w:asciiTheme="minorEastAsia" w:hAnsiTheme="minorEastAsia"/>
                <w:bCs/>
                <w:sz w:val="18"/>
                <w:szCs w:val="18"/>
              </w:rPr>
              <w:t>。</w:t>
            </w:r>
          </w:p>
          <w:p w14:paraId="0A63A109">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14:paraId="2B8DDBF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488D85BF">
            <w:pPr>
              <w:spacing w:line="360" w:lineRule="auto"/>
              <w:jc w:val="left"/>
              <w:rPr>
                <w:rFonts w:ascii="宋体" w:hAnsi="宋体"/>
                <w:b/>
                <w:bCs/>
                <w:sz w:val="18"/>
                <w:szCs w:val="18"/>
              </w:rPr>
            </w:pPr>
            <w:r>
              <w:rPr>
                <w:rFonts w:hint="eastAsia" w:asciiTheme="minorEastAsia" w:hAnsiTheme="minorEastAsia"/>
                <w:b/>
                <w:bCs/>
                <w:sz w:val="18"/>
                <w:szCs w:val="18"/>
              </w:rPr>
              <w:t>终止日</w:t>
            </w:r>
          </w:p>
        </w:tc>
        <w:tc>
          <w:tcPr>
            <w:tcW w:w="7674" w:type="dxa"/>
            <w:shd w:val="solid" w:color="FFFFFF" w:fill="FFFFFF"/>
            <w:vAlign w:val="center"/>
          </w:tcPr>
          <w:p w14:paraId="601B9C10">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2026年09月22日</w:t>
            </w:r>
            <w:r>
              <w:rPr>
                <w:rFonts w:hint="eastAsia" w:cs="Times New Roman" w:asciiTheme="minorEastAsia" w:hAnsiTheme="minorEastAsia"/>
                <w:sz w:val="18"/>
                <w:szCs w:val="18"/>
              </w:rPr>
              <w:t>】（遇节假日顺延）</w:t>
            </w:r>
            <w:r>
              <w:rPr>
                <w:rFonts w:hint="eastAsia" w:asciiTheme="minorEastAsia" w:hAnsiTheme="minorEastAsia"/>
                <w:bCs/>
                <w:sz w:val="18"/>
                <w:szCs w:val="18"/>
              </w:rPr>
              <w:t>。</w:t>
            </w:r>
          </w:p>
          <w:p w14:paraId="7D5E2D35">
            <w:pPr>
              <w:spacing w:line="360" w:lineRule="auto"/>
              <w:rPr>
                <w:rFonts w:cs="Times New Roman" w:asciiTheme="minorEastAsia" w:hAnsiTheme="minorEastAsia"/>
                <w:sz w:val="18"/>
                <w:szCs w:val="18"/>
              </w:rPr>
            </w:pPr>
            <w:r>
              <w:rPr>
                <w:rFonts w:hint="eastAsia" w:ascii="宋体" w:hAnsi="宋体"/>
                <w:bCs/>
                <w:sz w:val="18"/>
                <w:szCs w:val="18"/>
              </w:rPr>
              <w:t>2.本产品的实际终止日受制于本理财产品销售文件“提前终止”及“延期终止”情形。</w:t>
            </w:r>
          </w:p>
        </w:tc>
      </w:tr>
      <w:tr w14:paraId="4854C7A3">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C94205E">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74" w:type="dxa"/>
            <w:shd w:val="solid" w:color="FFFFFF" w:fill="FFFFFF"/>
            <w:vAlign w:val="center"/>
          </w:tcPr>
          <w:p w14:paraId="0D56300D">
            <w:pPr>
              <w:spacing w:line="360" w:lineRule="auto"/>
              <w:rPr>
                <w:rFonts w:hint="eastAsia" w:asciiTheme="majorEastAsia" w:hAnsiTheme="majorEastAsia" w:eastAsiaTheme="majorEastAsia"/>
                <w:sz w:val="18"/>
                <w:szCs w:val="18"/>
              </w:rPr>
            </w:pPr>
            <w:r>
              <w:rPr>
                <w:rFonts w:ascii="宋体" w:hAnsi="宋体" w:cs="宋体" w:eastAsia="宋体"/>
                <w:sz w:val="18"/>
              </w:rPr>
              <w:t>每笔购买起点金额为【1】元; 超出起点金额的部分以【0.01】元的整数倍递增。（适用【A】类份额)</w:t>
              <w:br/>
            </w:r>
            <w:r>
              <w:rPr>
                <w:rFonts w:ascii="宋体" w:hAnsi="宋体" w:cs="宋体" w:eastAsia="宋体"/>
                <w:sz w:val="18"/>
              </w:rPr>
              <w:t>每笔购买起点金额为【1】元; 超出起点金额的部分以【0.01】元的整数倍递增。（适用【C】类份额)</w:t>
              <w:br/>
            </w:r>
            <w:r>
              <w:rPr>
                <w:rFonts w:ascii="宋体" w:hAnsi="宋体" w:cs="宋体" w:eastAsia="宋体"/>
                <w:sz w:val="18"/>
              </w:rPr>
              <w:t>每笔购买起点金额为【1】元; 超出起点金额的部分以【0.01】元的整数倍递增。（适用【D】类份额)</w:t>
              <w:br/>
            </w:r>
            <w:r>
              <w:rPr>
                <w:rFonts w:ascii="宋体" w:hAnsi="宋体" w:cs="宋体" w:eastAsia="宋体"/>
                <w:sz w:val="18"/>
              </w:rPr>
              <w:t>每笔购买起点金额为【1】元; 超出起点金额的部分以【0.01】元的整数倍递增。（适用【E】类份额)</w:t>
              <w:br/>
            </w:r>
            <w:r>
              <w:rPr>
                <w:rFonts w:ascii="宋体" w:hAnsi="宋体" w:cs="宋体" w:eastAsia="宋体"/>
                <w:sz w:val="18"/>
              </w:rPr>
              <w:t>每笔购买起点金额为【1】元; 超出起点金额的部分以【0.01】元的整数倍递增。（适用【F】类份额)</w:t>
            </w:r>
          </w:p>
          <w:p w14:paraId="69793AC9">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注</w:t>
            </w:r>
            <w:r>
              <w:rPr>
                <w:rFonts w:ascii="黑体" w:hAnsi="黑体" w:eastAsia="黑体"/>
                <w:color w:val="000000" w:themeColor="text1"/>
                <w:sz w:val="18"/>
                <w:szCs w:val="18"/>
                <w14:textFill>
                  <w14:solidFill>
                    <w14:schemeClr w14:val="tx1"/>
                  </w14:solidFill>
                </w14:textFill>
              </w:rPr>
              <w:t>：</w:t>
            </w:r>
            <w:r>
              <w:rPr>
                <w:rFonts w:hint="eastAsia" w:ascii="黑体" w:hAnsi="黑体" w:eastAsia="黑体"/>
                <w:color w:val="000000" w:themeColor="text1"/>
                <w:sz w:val="18"/>
                <w:szCs w:val="18"/>
                <w14:textFill>
                  <w14:solidFill>
                    <w14:schemeClr w14:val="tx1"/>
                  </w14:solidFill>
                </w14:textFill>
              </w:rPr>
              <w:t>关于代理销售机构的实际销售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的提示</w:t>
            </w:r>
          </w:p>
          <w:p w14:paraId="7E818D53">
            <w:pPr>
              <w:spacing w:line="360" w:lineRule="auto"/>
              <w:rPr>
                <w:rFonts w:ascii="黑体" w:hAnsi="黑体" w:eastAsia="黑体"/>
                <w:color w:val="000000" w:themeColor="text1"/>
                <w:sz w:val="18"/>
                <w:szCs w:val="18"/>
                <w14:textFill>
                  <w14:solidFill>
                    <w14:schemeClr w14:val="tx1"/>
                  </w14:solidFill>
                </w14:textFill>
              </w:rPr>
            </w:pPr>
            <w:r>
              <w:rPr>
                <w:rFonts w:hint="eastAsia" w:ascii="黑体" w:hAnsi="黑体" w:eastAsia="黑体"/>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color w:val="000000" w:themeColor="text1"/>
                <w:sz w:val="18"/>
                <w:szCs w:val="18"/>
                <w14:textFill>
                  <w14:solidFill>
                    <w14:schemeClr w14:val="tx1"/>
                  </w14:solidFill>
                </w14:textFill>
              </w:rPr>
              <w:t>以</w:t>
            </w:r>
            <w:r>
              <w:rPr>
                <w:rFonts w:hint="eastAsia" w:ascii="黑体" w:hAnsi="黑体" w:eastAsia="黑体"/>
                <w:color w:val="000000" w:themeColor="text1"/>
                <w:sz w:val="18"/>
                <w:szCs w:val="18"/>
                <w14:textFill>
                  <w14:solidFill>
                    <w14:schemeClr w14:val="tx1"/>
                  </w14:solidFill>
                </w14:textFill>
              </w:rPr>
              <w:t>代理销售机构展示</w:t>
            </w:r>
            <w:r>
              <w:rPr>
                <w:rFonts w:ascii="黑体" w:hAnsi="黑体" w:eastAsia="黑体"/>
                <w:color w:val="000000" w:themeColor="text1"/>
                <w:sz w:val="18"/>
                <w:szCs w:val="18"/>
                <w14:textFill>
                  <w14:solidFill>
                    <w14:schemeClr w14:val="tx1"/>
                  </w14:solidFill>
                </w14:textFill>
              </w:rPr>
              <w:t>为准</w:t>
            </w:r>
            <w:r>
              <w:rPr>
                <w:rFonts w:hint="eastAsia" w:ascii="黑体" w:hAnsi="黑体" w:eastAsia="黑体"/>
                <w:color w:val="000000" w:themeColor="text1"/>
                <w:sz w:val="18"/>
                <w:szCs w:val="18"/>
                <w14:textFill>
                  <w14:solidFill>
                    <w14:schemeClr w14:val="tx1"/>
                  </w14:solidFill>
                </w14:textFill>
              </w:rPr>
              <w:t>。</w:t>
            </w:r>
          </w:p>
          <w:p w14:paraId="7D223A05">
            <w:pPr>
              <w:spacing w:line="360" w:lineRule="auto"/>
              <w:jc w:val="left"/>
              <w:rPr>
                <w:rFonts w:cs="Times New Roman" w:asciiTheme="minorEastAsia" w:hAnsiTheme="minorEastAsia"/>
                <w:sz w:val="18"/>
                <w:szCs w:val="18"/>
              </w:rPr>
            </w:pPr>
            <w:r>
              <w:rPr>
                <w:rFonts w:hint="eastAsia" w:ascii="黑体" w:hAnsi="黑体" w:eastAsia="黑体"/>
                <w:color w:val="000000" w:themeColor="text1"/>
                <w:sz w:val="18"/>
                <w:szCs w:val="18"/>
                <w14:textFill>
                  <w14:solidFill>
                    <w14:schemeClr w14:val="tx1"/>
                  </w14:solidFill>
                </w14:textFill>
              </w:rPr>
              <w:t>②代理销售机构的实际销售起点金额，</w:t>
            </w:r>
            <w:r>
              <w:rPr>
                <w:rFonts w:ascii="黑体" w:hAnsi="黑体" w:eastAsia="黑体"/>
                <w:color w:val="000000" w:themeColor="text1"/>
                <w:sz w:val="18"/>
                <w:szCs w:val="18"/>
                <w14:textFill>
                  <w14:solidFill>
                    <w14:schemeClr w14:val="tx1"/>
                  </w14:solidFill>
                </w14:textFill>
              </w:rPr>
              <w:t>不得低于</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文件约定的</w:t>
            </w:r>
            <w:r>
              <w:rPr>
                <w:rFonts w:hint="eastAsia" w:ascii="黑体" w:hAnsi="黑体" w:eastAsia="黑体"/>
                <w:color w:val="000000" w:themeColor="text1"/>
                <w:sz w:val="18"/>
                <w:szCs w:val="18"/>
                <w14:textFill>
                  <w14:solidFill>
                    <w14:schemeClr w14:val="tx1"/>
                  </w14:solidFill>
                </w14:textFill>
              </w:rPr>
              <w:t>销售</w:t>
            </w:r>
            <w:r>
              <w:rPr>
                <w:rFonts w:ascii="黑体" w:hAnsi="黑体" w:eastAsia="黑体"/>
                <w:color w:val="000000" w:themeColor="text1"/>
                <w:sz w:val="18"/>
                <w:szCs w:val="18"/>
                <w14:textFill>
                  <w14:solidFill>
                    <w14:schemeClr w14:val="tx1"/>
                  </w14:solidFill>
                </w14:textFill>
              </w:rPr>
              <w:t>起点金额</w:t>
            </w:r>
            <w:r>
              <w:rPr>
                <w:rFonts w:hint="eastAsia" w:ascii="黑体" w:hAnsi="黑体" w:eastAsia="黑体"/>
                <w:color w:val="000000" w:themeColor="text1"/>
                <w:sz w:val="18"/>
                <w:szCs w:val="18"/>
                <w14:textFill>
                  <w14:solidFill>
                    <w14:schemeClr w14:val="tx1"/>
                  </w14:solidFill>
                </w14:textFill>
              </w:rPr>
              <w:t>。</w:t>
            </w:r>
          </w:p>
        </w:tc>
      </w:tr>
      <w:tr w14:paraId="50740978">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A6614EB">
            <w:pPr>
              <w:spacing w:line="360" w:lineRule="auto"/>
              <w:jc w:val="left"/>
              <w:rPr>
                <w:rFonts w:hAnsi="宋体"/>
                <w:sz w:val="18"/>
                <w:szCs w:val="18"/>
              </w:rPr>
            </w:pPr>
            <w:r>
              <w:rPr>
                <w:rFonts w:hint="eastAsia" w:hAnsi="宋体"/>
                <w:b/>
                <w:sz w:val="18"/>
                <w:szCs w:val="18"/>
              </w:rPr>
              <w:t>★认购的数量限制</w:t>
            </w:r>
          </w:p>
        </w:tc>
        <w:tc>
          <w:tcPr>
            <w:tcW w:w="7674" w:type="dxa"/>
            <w:shd w:val="solid" w:color="FFFFFF" w:fill="FFFFFF"/>
            <w:vAlign w:val="center"/>
          </w:tcPr>
          <w:p w14:paraId="1E0CC657">
            <w:pPr>
              <w:pStyle w:val="34"/>
              <w:spacing w:line="360" w:lineRule="auto"/>
              <w:rPr>
                <w:rFonts w:hint="eastAsia" w:hAnsi="宋体"/>
                <w:bCs/>
                <w:sz w:val="18"/>
                <w:szCs w:val="18"/>
                <w:lang w:val="en-US" w:eastAsia="zh-CN"/>
              </w:rPr>
            </w:pPr>
            <w:r>
              <w:rPr>
                <w:rFonts w:ascii="宋体" w:hAnsi="宋体" w:cs="宋体" w:eastAsia="宋体"/>
                <w:sz w:val="18"/>
              </w:rPr>
              <w:t>认购的数量限制</w:t>
              <w:br/>
            </w:r>
            <w:r>
              <w:rPr>
                <w:rFonts w:ascii="宋体" w:hAnsi="宋体" w:cs="宋体" w:eastAsia="宋体"/>
                <w:sz w:val="18"/>
              </w:rPr>
              <w:t>（1）单一投资者认购上限为【/】元。（适用【A】类份额)</w:t>
              <w:br/>
            </w:r>
            <w:r>
              <w:rPr>
                <w:rFonts w:ascii="宋体" w:hAnsi="宋体" w:cs="宋体" w:eastAsia="宋体"/>
                <w:sz w:val="18"/>
              </w:rPr>
              <w:t xml:space="preserve">     单一投资者认购上限为【/】元。（适用【C】类份额)</w:t>
              <w:br/>
            </w:r>
            <w:r>
              <w:rPr>
                <w:rFonts w:ascii="宋体" w:hAnsi="宋体" w:cs="宋体" w:eastAsia="宋体"/>
                <w:sz w:val="18"/>
              </w:rPr>
              <w:t xml:space="preserve">     单一投资者认购上限为【/】元。（适用【D】类份额)</w:t>
              <w:br/>
            </w:r>
            <w:r>
              <w:rPr>
                <w:rFonts w:ascii="宋体" w:hAnsi="宋体" w:cs="宋体" w:eastAsia="宋体"/>
                <w:sz w:val="18"/>
              </w:rPr>
              <w:t xml:space="preserve">     单一投资者认购上限为【/】元。（适用【E】类份额)</w:t>
              <w:br/>
            </w:r>
            <w:r>
              <w:rPr>
                <w:rFonts w:ascii="宋体" w:hAnsi="宋体" w:cs="宋体" w:eastAsia="宋体"/>
                <w:sz w:val="18"/>
              </w:rPr>
              <w:t xml:space="preserve">     单一投资者认购上限为【/】元。（适用【F】类份额)</w:t>
              <w:br/>
            </w:r>
            <w:r>
              <w:rPr>
                <w:rFonts w:ascii="宋体" w:hAnsi="宋体" w:cs="宋体" w:eastAsia="宋体"/>
                <w:sz w:val="18"/>
              </w:rPr>
              <w:t>（2）产品存续期间，单一投资者最高持有份额上限为【/】份，符合产品管理人流动性管理的稳定资金除外。（适用【A】类份额)</w:t>
              <w:br/>
            </w:r>
            <w:r>
              <w:rPr>
                <w:rFonts w:ascii="宋体" w:hAnsi="宋体" w:cs="宋体" w:eastAsia="宋体"/>
                <w:sz w:val="18"/>
              </w:rPr>
              <w:t xml:space="preserve">     产品存续期间，单一投资者最高持有份额上限为【/】份，符合产品管理人流动性管理的稳定资金除外。（适用【C】类份额)</w:t>
              <w:br/>
            </w:r>
            <w:r>
              <w:rPr>
                <w:rFonts w:ascii="宋体" w:hAnsi="宋体" w:cs="宋体" w:eastAsia="宋体"/>
                <w:sz w:val="18"/>
              </w:rPr>
              <w:t xml:space="preserve">     产品存续期间，单一投资者最高持有份额上限为【/】份，符合产品管理人流动性管理的稳定资金除外。（适用【D】类份额)</w:t>
              <w:br/>
            </w:r>
            <w:r>
              <w:rPr>
                <w:rFonts w:ascii="宋体" w:hAnsi="宋体" w:cs="宋体" w:eastAsia="宋体"/>
                <w:sz w:val="18"/>
              </w:rPr>
              <w:t xml:space="preserve">     产品存续期间，单一投资者最高持有份额上限为【/】份，符合产品管理人流动性管理的稳定资金除外。（适用【E】类份额)</w:t>
              <w:br/>
            </w:r>
            <w:r>
              <w:rPr>
                <w:rFonts w:ascii="宋体" w:hAnsi="宋体" w:cs="宋体" w:eastAsia="宋体"/>
                <w:sz w:val="18"/>
              </w:rPr>
              <w:t xml:space="preserve">     产品存续期间，单一投资者最高持有份额上限为【/】份，符合产品管理人流动性管理的稳定资金除外。（适用【F】类份额)</w:t>
            </w:r>
          </w:p>
          <w:p w14:paraId="50076EAA">
            <w:pPr>
              <w:pStyle w:val="34"/>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14:paraId="3747F42A">
            <w:pPr>
              <w:spacing w:line="360" w:lineRule="auto"/>
              <w:rPr>
                <w:rFonts w:asciiTheme="minorEastAsia" w:hAnsiTheme="minorEastAsia" w:eastAsiaTheme="minorEastAsia"/>
                <w:sz w:val="18"/>
                <w:szCs w:val="18"/>
              </w:rPr>
            </w:pPr>
            <w:r>
              <w:rPr>
                <w:rFonts w:ascii="黑体" w:hAnsi="黑体" w:cs="黑体" w:eastAsia="黑体"/>
                <w:sz w:val="18"/>
              </w:rPr>
              <w:t>注：本产品单一投资者持有份额不得超过产品总份额50%。</w:t>
              <w:br/>
            </w:r>
            <w:r>
              <w:rPr>
                <w:rFonts w:ascii="黑体" w:hAnsi="黑体" w:cs="黑体" w:eastAsia="黑体"/>
                <w:sz w:val="18"/>
              </w:rPr>
              <w:t>（1）投资者认购或申购确认后可能导致其持有份额超过产品总份额50%的，管理人有权拒绝或暂停认购、申购。</w:t>
              <w:br/>
            </w:r>
            <w:r>
              <w:rPr>
                <w:rFonts w:ascii="黑体" w:hAnsi="黑体" w:cs="黑体" w:eastAsia="黑体"/>
                <w:sz w:val="18"/>
              </w:rPr>
              <w:t>（2）非因管理人主观因素导致突破该比例限制的，在单一投资者持有比例降至50%以下之前，管理人不再接受该投资者对本产品的认购、申购申请。</w:t>
            </w:r>
          </w:p>
        </w:tc>
      </w:tr>
      <w:tr w14:paraId="35CD85D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ECA4771">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74" w:type="dxa"/>
            <w:shd w:val="solid" w:color="FFFFFF" w:fill="FFFFFF"/>
            <w:vAlign w:val="center"/>
          </w:tcPr>
          <w:p w14:paraId="7E735C83">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14:paraId="16E98A2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6F849C80">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74" w:type="dxa"/>
            <w:shd w:val="solid" w:color="FFFFFF" w:fill="FFFFFF"/>
            <w:vAlign w:val="center"/>
          </w:tcPr>
          <w:p w14:paraId="093FC33D">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w:t>
            </w:r>
            <w:r>
              <w:rPr>
                <w:rFonts w:asciiTheme="majorEastAsia" w:hAnsiTheme="majorEastAsia" w:eastAsiaTheme="majorEastAsia"/>
                <w:color w:val="000000" w:themeColor="text1"/>
                <w:sz w:val="18"/>
                <w:szCs w:val="18"/>
                <w14:textFill>
                  <w14:solidFill>
                    <w14:schemeClr w14:val="tx1"/>
                  </w14:solidFill>
                </w14:textFill>
              </w:rPr>
              <w:t>.</w:t>
            </w:r>
            <w:r>
              <w:rPr>
                <w:rFonts w:asciiTheme="majorEastAsia" w:hAnsiTheme="majorEastAsia" w:eastAsiaTheme="majorEastAsia"/>
                <w:bCs/>
                <w:sz w:val="18"/>
                <w:szCs w:val="18"/>
              </w:rPr>
              <w:t>若产品投资资产运作出现损失的，产品份额净值下降，投资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分配所得可能小于投资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初始投资资金。投资</w:t>
            </w:r>
            <w:r>
              <w:rPr>
                <w:rFonts w:hint="eastAsia" w:asciiTheme="majorEastAsia" w:hAnsiTheme="majorEastAsia" w:eastAsiaTheme="majorEastAsia"/>
                <w:bCs/>
                <w:sz w:val="18"/>
                <w:szCs w:val="18"/>
              </w:rPr>
              <w:t>者</w:t>
            </w:r>
            <w:r>
              <w:rPr>
                <w:rFonts w:asciiTheme="majorEastAsia" w:hAnsiTheme="majorEastAsia" w:eastAsiaTheme="majorEastAsia"/>
                <w:bCs/>
                <w:sz w:val="18"/>
                <w:szCs w:val="18"/>
              </w:rPr>
              <w:t>分配所得以实际到账金额为准。</w:t>
            </w:r>
          </w:p>
          <w:p w14:paraId="384F73E4">
            <w:pPr>
              <w:spacing w:line="360" w:lineRule="auto"/>
              <w:rPr>
                <w:rFonts w:asciiTheme="majorEastAsia" w:hAnsiTheme="majorEastAsia" w:eastAsiaTheme="majorEastAsia"/>
                <w:bCs/>
                <w:sz w:val="18"/>
                <w:szCs w:val="18"/>
              </w:rPr>
            </w:pPr>
            <w:r>
              <w:rPr>
                <w:rFonts w:asciiTheme="majorEastAsia" w:hAnsiTheme="majorEastAsia" w:eastAsiaTheme="majorEastAsia"/>
                <w:bCs/>
                <w:sz w:val="18"/>
                <w:szCs w:val="18"/>
              </w:rPr>
              <w:t>2．产品实际</w:t>
            </w:r>
            <w:r>
              <w:rPr>
                <w:rFonts w:hint="eastAsia" w:asciiTheme="majorEastAsia" w:hAnsiTheme="majorEastAsia" w:eastAsiaTheme="majorEastAsia"/>
                <w:bCs/>
                <w:sz w:val="18"/>
                <w:szCs w:val="18"/>
              </w:rPr>
              <w:t>终止</w:t>
            </w:r>
            <w:r>
              <w:rPr>
                <w:rFonts w:asciiTheme="majorEastAsia" w:hAnsiTheme="majorEastAsia" w:eastAsiaTheme="majorEastAsia"/>
                <w:bCs/>
                <w:sz w:val="18"/>
                <w:szCs w:val="18"/>
              </w:rPr>
              <w:t>日之前的估值日公布的产品份额净值已扣除</w:t>
            </w:r>
            <w:r>
              <w:rPr>
                <w:rFonts w:hint="eastAsia" w:asciiTheme="majorEastAsia" w:hAnsiTheme="majorEastAsia" w:eastAsiaTheme="majorEastAsia"/>
                <w:bCs/>
                <w:sz w:val="18"/>
                <w:szCs w:val="18"/>
              </w:rPr>
              <w:t>理财产品</w:t>
            </w:r>
            <w:r>
              <w:rPr>
                <w:rFonts w:asciiTheme="majorEastAsia" w:hAnsiTheme="majorEastAsia" w:eastAsiaTheme="majorEastAsia"/>
                <w:bCs/>
                <w:sz w:val="18"/>
                <w:szCs w:val="18"/>
              </w:rPr>
              <w:t>的费用和税收。</w:t>
            </w:r>
          </w:p>
          <w:p w14:paraId="49258414">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3．产品管理人依约定公布产品份额净值</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以</w:t>
            </w:r>
            <w:r>
              <w:rPr>
                <w:rFonts w:hint="eastAsia" w:asciiTheme="majorEastAsia" w:hAnsiTheme="majorEastAsia" w:eastAsiaTheme="majorEastAsia"/>
                <w:bCs/>
                <w:sz w:val="18"/>
                <w:szCs w:val="18"/>
              </w:rPr>
              <w:t>产品终止日</w:t>
            </w:r>
            <w:r>
              <w:rPr>
                <w:rFonts w:asciiTheme="majorEastAsia" w:hAnsiTheme="majorEastAsia" w:eastAsiaTheme="majorEastAsia"/>
                <w:bCs/>
                <w:sz w:val="18"/>
                <w:szCs w:val="18"/>
              </w:rPr>
              <w:t>产品份额净值为基础进行利益分配。</w:t>
            </w:r>
          </w:p>
          <w:p w14:paraId="0BFC4C1D">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lang w:val="en-US" w:eastAsia="zh-CN"/>
              </w:rPr>
              <w:t>4.理财产品份额净值四舍五入保留5位小数。</w:t>
            </w:r>
          </w:p>
        </w:tc>
      </w:tr>
      <w:tr w14:paraId="76234376">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5D374AE0">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74" w:type="dxa"/>
            <w:shd w:val="solid" w:color="FFFFFF" w:fill="FFFFFF"/>
            <w:vAlign w:val="center"/>
          </w:tcPr>
          <w:p w14:paraId="760CD802">
            <w:pPr>
              <w:spacing w:line="360" w:lineRule="auto"/>
              <w:jc w:val="left"/>
              <w:rPr>
                <w:rFonts w:hint="eastAsia" w:hAnsi="宋体"/>
                <w:sz w:val="18"/>
                <w:szCs w:val="18"/>
              </w:rPr>
            </w:pPr>
            <w:r>
              <w:rPr>
                <w:rFonts w:ascii="宋体" w:hAnsi="宋体" w:cs="宋体" w:eastAsia="宋体"/>
                <w:sz w:val="18"/>
              </w:rPr>
              <w:t>1.业绩比较基准的设置</w:t>
              <w:br/>
            </w:r>
            <w:r>
              <w:rPr>
                <w:rFonts w:ascii="宋体" w:hAnsi="宋体" w:cs="宋体" w:eastAsia="宋体"/>
                <w:sz w:val="18"/>
              </w:rPr>
              <w:t>■ 产品管理人设置业绩比较基准。</w:t>
              <w:br/>
            </w:r>
            <w:r>
              <w:rPr>
                <w:rFonts w:ascii="宋体" w:hAnsi="宋体" w:cs="宋体" w:eastAsia="宋体"/>
                <w:sz w:val="18"/>
              </w:rPr>
              <w:t>（1）业绩比较基准的说明：【产品投资债权类资产不低于80%，根据当前市场环境下大类资产合理配置比例及大类资产收益情况，考虑杠杆和费率等因素，并结合产品投资策略，设定业绩比较基准。】。</w:t>
              <w:br/>
            </w:r>
            <w:r>
              <w:rPr>
                <w:rFonts w:ascii="宋体" w:hAnsi="宋体" w:cs="宋体" w:eastAsia="宋体"/>
                <w:sz w:val="18"/>
              </w:rPr>
              <w:t>（2）业绩比较基准的设定：管理人对本产品设定业绩比较基准：</w:t>
              <w:br/>
            </w:r>
            <w:r>
              <w:rPr>
                <w:rFonts w:ascii="宋体" w:hAnsi="宋体" w:cs="宋体" w:eastAsia="宋体"/>
                <w:sz w:val="18"/>
              </w:rPr>
              <w:t>年化【1.73%】。（适用【A】类份额)</w:t>
              <w:br/>
            </w:r>
            <w:r>
              <w:rPr>
                <w:rFonts w:ascii="宋体" w:hAnsi="宋体" w:cs="宋体" w:eastAsia="宋体"/>
                <w:sz w:val="18"/>
              </w:rPr>
              <w:t>年化【1.75%】。（适用【C】类份额)</w:t>
              <w:br/>
            </w:r>
            <w:r>
              <w:rPr>
                <w:rFonts w:ascii="宋体" w:hAnsi="宋体" w:cs="宋体" w:eastAsia="宋体"/>
                <w:sz w:val="18"/>
              </w:rPr>
              <w:t>年化【1.7%】。（适用【D】类份额)</w:t>
              <w:br/>
            </w:r>
            <w:r>
              <w:rPr>
                <w:rFonts w:ascii="宋体" w:hAnsi="宋体" w:cs="宋体" w:eastAsia="宋体"/>
                <w:sz w:val="18"/>
              </w:rPr>
              <w:t>年化【1.6%】。（适用【E】类份额)</w:t>
              <w:br/>
            </w:r>
            <w:r>
              <w:rPr>
                <w:rFonts w:ascii="宋体" w:hAnsi="宋体" w:cs="宋体" w:eastAsia="宋体"/>
                <w:sz w:val="18"/>
              </w:rPr>
              <w:t>年化【1.5%】。（适用【F】类份额)</w:t>
              <w:br/>
            </w:r>
            <w:r>
              <w:rPr>
                <w:rFonts w:ascii="宋体" w:hAnsi="宋体" w:cs="宋体" w:eastAsia="宋体"/>
                <w:sz w:val="18"/>
              </w:rPr>
              <w:t>□ 产品管理人不设置业绩比较基准。</w:t>
            </w:r>
          </w:p>
          <w:p w14:paraId="2485EA71">
            <w:pPr>
              <w:spacing w:line="360" w:lineRule="auto"/>
              <w:jc w:val="left"/>
              <w:rPr>
                <w:rFonts w:asciiTheme="majorEastAsia" w:hAnsiTheme="majorEastAsia" w:eastAsiaTheme="majorEastAsia"/>
                <w:bCs/>
                <w:sz w:val="18"/>
                <w:szCs w:val="18"/>
              </w:rPr>
            </w:pPr>
            <w:r>
              <w:rPr>
                <w:rFonts w:asciiTheme="majorEastAsia" w:hAnsiTheme="majorEastAsia" w:eastAsiaTheme="majorEastAsia"/>
                <w:bCs/>
                <w:sz w:val="18"/>
                <w:szCs w:val="18"/>
              </w:rPr>
              <w:t>2.业绩比较基准的提示：</w:t>
            </w:r>
          </w:p>
          <w:p w14:paraId="5342C996">
            <w:pPr>
              <w:spacing w:line="360" w:lineRule="auto"/>
              <w:jc w:val="left"/>
              <w:rPr>
                <w:rFonts w:asciiTheme="majorEastAsia" w:hAnsiTheme="majorEastAsia" w:eastAsiaTheme="majorEastAsia"/>
                <w:b/>
                <w:bCs/>
                <w:sz w:val="18"/>
                <w:szCs w:val="18"/>
              </w:rPr>
            </w:pPr>
            <w:r>
              <w:rPr>
                <w:rFonts w:hint="eastAsia" w:asciiTheme="majorEastAsia" w:hAnsiTheme="majorEastAsia"/>
                <w:b/>
                <w:sz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tc>
      </w:tr>
      <w:tr w14:paraId="76ED6F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79FE898C">
            <w:pPr>
              <w:spacing w:line="360" w:lineRule="auto"/>
              <w:jc w:val="left"/>
              <w:rPr>
                <w:sz w:val="18"/>
                <w:szCs w:val="18"/>
              </w:rPr>
            </w:pPr>
            <w:r>
              <w:rPr>
                <w:rFonts w:hint="eastAsia"/>
                <w:sz w:val="18"/>
                <w:szCs w:val="18"/>
              </w:rPr>
              <w:t>★</w:t>
            </w:r>
            <w:r>
              <w:rPr>
                <w:rFonts w:hint="eastAsia"/>
                <w:b/>
                <w:sz w:val="18"/>
                <w:szCs w:val="18"/>
              </w:rPr>
              <w:t>业绩报酬计提</w:t>
            </w:r>
            <w:r>
              <w:rPr>
                <w:rFonts w:ascii="宋体" w:hAnsi="宋体"/>
                <w:b/>
                <w:sz w:val="18"/>
                <w:szCs w:val="18"/>
              </w:rPr>
              <w:t>基准</w:t>
            </w:r>
          </w:p>
        </w:tc>
        <w:tc>
          <w:tcPr>
            <w:tcW w:w="7674" w:type="dxa"/>
            <w:shd w:val="solid" w:color="FFFFFF" w:fill="FFFFFF"/>
            <w:vAlign w:val="center"/>
          </w:tcPr>
          <w:p w14:paraId="56EEDF7D">
            <w:pPr>
              <w:spacing w:line="360" w:lineRule="auto"/>
              <w:jc w:val="left"/>
              <w:rPr>
                <w:rFonts w:hint="eastAsia" w:hAnsi="宋体"/>
                <w:bCs/>
                <w:sz w:val="18"/>
                <w:szCs w:val="18"/>
              </w:rPr>
            </w:pPr>
            <w:r>
              <w:rPr>
                <w:rFonts w:ascii="宋体" w:hAnsi="宋体" w:cs="宋体" w:eastAsia="宋体"/>
                <w:sz w:val="18"/>
              </w:rPr>
              <w:t>1.业绩报酬计提基准的设置</w:t>
              <w:br/>
            </w:r>
            <w:r>
              <w:rPr>
                <w:rFonts w:ascii="宋体" w:hAnsi="宋体" w:cs="宋体" w:eastAsia="宋体"/>
                <w:sz w:val="18"/>
              </w:rPr>
              <w:t>■ 产品管理人设置业绩报酬计提基准。</w:t>
              <w:br/>
            </w:r>
            <w:r>
              <w:rPr>
                <w:rFonts w:ascii="宋体" w:hAnsi="宋体" w:cs="宋体" w:eastAsia="宋体"/>
                <w:sz w:val="18"/>
              </w:rPr>
              <w:t>业绩报酬计提基准的设定：管理人对本产品设定业绩报酬计提基准：</w:t>
              <w:br/>
            </w:r>
            <w:r>
              <w:rPr>
                <w:rFonts w:ascii="宋体" w:hAnsi="宋体" w:cs="宋体" w:eastAsia="宋体"/>
                <w:sz w:val="18"/>
              </w:rPr>
              <w:t>年化【1.73%】。（适用【A】类份额)</w:t>
              <w:br/>
            </w:r>
            <w:r>
              <w:rPr>
                <w:rFonts w:ascii="宋体" w:hAnsi="宋体" w:cs="宋体" w:eastAsia="宋体"/>
                <w:sz w:val="18"/>
              </w:rPr>
              <w:t>年化【1.75%】。（适用【C】类份额)</w:t>
              <w:br/>
            </w:r>
            <w:r>
              <w:rPr>
                <w:rFonts w:ascii="宋体" w:hAnsi="宋体" w:cs="宋体" w:eastAsia="宋体"/>
                <w:sz w:val="18"/>
              </w:rPr>
              <w:t>年化【1.7%】。（适用【D】类份额)</w:t>
              <w:br/>
            </w:r>
            <w:r>
              <w:rPr>
                <w:rFonts w:ascii="宋体" w:hAnsi="宋体" w:cs="宋体" w:eastAsia="宋体"/>
                <w:sz w:val="18"/>
              </w:rPr>
              <w:t>年化【1.6%】。（适用【E】类份额)</w:t>
              <w:br/>
            </w:r>
            <w:r>
              <w:rPr>
                <w:rFonts w:ascii="宋体" w:hAnsi="宋体" w:cs="宋体" w:eastAsia="宋体"/>
                <w:sz w:val="18"/>
              </w:rPr>
              <w:t>年化【1.5%】。（适用【F】类份额)</w:t>
              <w:br/>
            </w:r>
            <w:r>
              <w:rPr>
                <w:rFonts w:ascii="宋体" w:hAnsi="宋体" w:cs="宋体" w:eastAsia="宋体"/>
                <w:sz w:val="18"/>
              </w:rPr>
              <w:t>□ 产品管理人不设置业绩报酬计提基准。</w:t>
            </w:r>
          </w:p>
          <w:p w14:paraId="383F50E8">
            <w:pPr>
              <w:spacing w:line="360" w:lineRule="auto"/>
              <w:jc w:val="left"/>
              <w:rPr>
                <w:rFonts w:ascii="宋体" w:hAnsi="宋体"/>
                <w:bCs/>
                <w:sz w:val="18"/>
                <w:szCs w:val="18"/>
              </w:rPr>
            </w:pPr>
            <w:r>
              <w:rPr>
                <w:rFonts w:ascii="宋体" w:hAnsi="宋体"/>
                <w:bCs/>
                <w:sz w:val="18"/>
                <w:szCs w:val="18"/>
              </w:rPr>
              <w:t>2.业绩报酬计提基准的提示</w:t>
            </w:r>
            <w:r>
              <w:rPr>
                <w:rFonts w:hint="eastAsia" w:ascii="宋体" w:hAnsi="宋体"/>
                <w:bCs/>
                <w:sz w:val="18"/>
                <w:szCs w:val="18"/>
              </w:rPr>
              <w:t>：</w:t>
            </w:r>
          </w:p>
          <w:p w14:paraId="67AA5EE1">
            <w:pPr>
              <w:autoSpaceDE w:val="0"/>
              <w:autoSpaceDN w:val="0"/>
              <w:adjustRightInd w:val="0"/>
              <w:spacing w:line="360" w:lineRule="auto"/>
              <w:jc w:val="left"/>
              <w:rPr>
                <w:rFonts w:ascii="黑体" w:hAnsi="黑体" w:eastAsia="黑体"/>
                <w:sz w:val="18"/>
              </w:rPr>
            </w:pPr>
            <w:r>
              <w:rPr>
                <w:rFonts w:hint="eastAsia" w:ascii="黑体" w:hAnsi="黑体" w:eastAsia="黑体"/>
                <w:sz w:val="18"/>
              </w:rPr>
              <w:t>（</w:t>
            </w:r>
            <w:r>
              <w:rPr>
                <w:rFonts w:ascii="黑体" w:hAnsi="黑体" w:eastAsia="黑体"/>
                <w:sz w:val="18"/>
              </w:rPr>
              <w:t>1）</w:t>
            </w:r>
            <w:r>
              <w:rPr>
                <w:rFonts w:hint="eastAsia" w:ascii="黑体" w:hAnsi="黑体" w:eastAsia="黑体"/>
                <w:sz w:val="18"/>
                <w:szCs w:val="18"/>
              </w:rPr>
              <w:t>★</w:t>
            </w:r>
            <w:r>
              <w:rPr>
                <w:rFonts w:hint="eastAsia" w:ascii="黑体" w:hAnsi="黑体" w:eastAsia="黑体"/>
                <w:sz w:val="18"/>
              </w:rPr>
              <w:t>业绩报酬计提基准仅作为管理人计算超额业绩报酬的参照标准</w:t>
            </w:r>
            <w:r>
              <w:rPr>
                <w:rFonts w:hint="eastAsia" w:ascii="黑体" w:hAnsi="黑体" w:eastAsia="黑体"/>
                <w:bCs/>
                <w:sz w:val="18"/>
                <w:szCs w:val="18"/>
              </w:rPr>
              <w:t>。业绩报酬计提基准不是预期收益率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14:paraId="1517F2E1">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按照本产品说明书“理财产品的信息披露”条款约定及时公告。</w:t>
            </w:r>
          </w:p>
        </w:tc>
      </w:tr>
      <w:tr w14:paraId="755540D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70" w:type="dxa"/>
            <w:shd w:val="solid" w:color="FFFFFF" w:fill="FFFFFF"/>
            <w:vAlign w:val="center"/>
          </w:tcPr>
          <w:p w14:paraId="3E4E95CC">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74" w:type="dxa"/>
            <w:shd w:val="solid" w:color="FFFFFF" w:fill="FFFFFF"/>
            <w:vAlign w:val="center"/>
          </w:tcPr>
          <w:p w14:paraId="6841C7FA">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理财产品存续期间，产品管理人有权视理财产品收益情况进行主动分配，相应分配基准日、分配方案由管理人及时披露。</w:t>
            </w:r>
          </w:p>
          <w:p w14:paraId="56606EBE">
            <w:pPr>
              <w:spacing w:line="360" w:lineRule="auto"/>
              <w:jc w:val="left"/>
              <w:rPr>
                <w:rFonts w:hAnsi="宋体"/>
                <w:bCs/>
                <w:sz w:val="18"/>
                <w:szCs w:val="18"/>
              </w:rPr>
            </w:pPr>
            <w:r>
              <w:rPr>
                <w:rFonts w:hint="eastAsia" w:hAnsi="宋体"/>
                <w:bCs/>
                <w:sz w:val="18"/>
                <w:szCs w:val="18"/>
              </w:rPr>
              <w:t>2</w:t>
            </w:r>
            <w:r>
              <w:rPr>
                <w:rFonts w:hAnsi="宋体"/>
                <w:bCs/>
                <w:sz w:val="18"/>
                <w:szCs w:val="18"/>
              </w:rPr>
              <w:t>.具体理财产品利益分配</w:t>
            </w:r>
            <w:r>
              <w:rPr>
                <w:rFonts w:hint="eastAsia" w:hAnsi="宋体"/>
                <w:bCs/>
                <w:sz w:val="18"/>
                <w:szCs w:val="18"/>
              </w:rPr>
              <w:t>详见《产品说明书》“第八条 理财产品的利益分配”。</w:t>
            </w:r>
          </w:p>
        </w:tc>
      </w:tr>
      <w:tr w14:paraId="08DC663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39BE6515">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74" w:type="dxa"/>
            <w:shd w:val="solid" w:color="FFFFFF" w:fill="FFFFFF"/>
            <w:vAlign w:val="center"/>
          </w:tcPr>
          <w:p w14:paraId="0F653B65">
            <w:pPr>
              <w:spacing w:line="360" w:lineRule="auto"/>
              <w:rPr>
                <w:rFonts w:hint="eastAsia" w:asciiTheme="majorEastAsia" w:hAnsiTheme="majorEastAsia" w:eastAsiaTheme="majorEastAsia"/>
                <w:bCs/>
                <w:color w:val="000000" w:themeColor="text1"/>
                <w:sz w:val="18"/>
                <w:szCs w:val="18"/>
                <w14:textFill>
                  <w14:solidFill>
                    <w14:schemeClr w14:val="tx1"/>
                  </w14:solidFill>
                </w14:textFill>
              </w:rPr>
            </w:pPr>
            <w:r>
              <w:rPr>
                <w:rFonts w:ascii="黑体" w:hAnsi="黑体" w:cs="黑体" w:eastAsia="黑体"/>
                <w:sz w:val="18"/>
              </w:rPr>
              <w:t>1.理财产品的费率标准</w:t>
              <w:br/>
            </w:r>
            <w:r>
              <w:rPr>
                <w:rFonts w:ascii="黑体" w:hAnsi="黑体" w:cs="黑体" w:eastAsia="黑体"/>
                <w:sz w:val="18"/>
              </w:rPr>
              <w:t>（1）认购费：</w:t>
              <w:br/>
            </w:r>
            <w:r>
              <w:rPr>
                <w:rFonts w:ascii="黑体" w:hAnsi="黑体" w:cs="黑体" w:eastAsia="黑体"/>
                <w:sz w:val="18"/>
              </w:rPr>
              <w:t>【/】。（适用【A】类份额）</w:t>
              <w:br/>
            </w:r>
            <w:r>
              <w:rPr>
                <w:rFonts w:ascii="黑体" w:hAnsi="黑体" w:cs="黑体" w:eastAsia="黑体"/>
                <w:sz w:val="18"/>
              </w:rPr>
              <w:t>【/】。（适用【C】类份额）</w:t>
              <w:br/>
            </w:r>
            <w:r>
              <w:rPr>
                <w:rFonts w:ascii="黑体" w:hAnsi="黑体" w:cs="黑体" w:eastAsia="黑体"/>
                <w:sz w:val="18"/>
              </w:rPr>
              <w:t>【/】。（适用【D】类份额）</w:t>
              <w:br/>
            </w:r>
            <w:r>
              <w:rPr>
                <w:rFonts w:ascii="黑体" w:hAnsi="黑体" w:cs="黑体" w:eastAsia="黑体"/>
                <w:sz w:val="18"/>
              </w:rPr>
              <w:t>【/】。（适用【E】类份额）</w:t>
              <w:br/>
            </w:r>
            <w:r>
              <w:rPr>
                <w:rFonts w:ascii="黑体" w:hAnsi="黑体" w:cs="黑体" w:eastAsia="黑体"/>
                <w:sz w:val="18"/>
              </w:rPr>
              <w:t>【/】。（适用【F】类份额）</w:t>
              <w:br/>
            </w:r>
            <w:r>
              <w:rPr>
                <w:rFonts w:ascii="黑体" w:hAnsi="黑体" w:cs="黑体" w:eastAsia="黑体"/>
                <w:sz w:val="18"/>
              </w:rPr>
              <w:t>（2）销售服务费：</w:t>
              <w:br/>
            </w:r>
            <w:r>
              <w:rPr>
                <w:rFonts w:ascii="黑体" w:hAnsi="黑体" w:cs="黑体" w:eastAsia="黑体"/>
                <w:sz w:val="18"/>
              </w:rPr>
              <w:t>年化费率【0.07%】。（适用【A】类份额）</w:t>
              <w:br/>
            </w:r>
            <w:r>
              <w:rPr>
                <w:rFonts w:ascii="黑体" w:hAnsi="黑体" w:cs="黑体" w:eastAsia="黑体"/>
                <w:sz w:val="18"/>
              </w:rPr>
              <w:t>年化费率【0.05%】。（适用【C】类份额）</w:t>
              <w:br/>
            </w:r>
            <w:r>
              <w:rPr>
                <w:rFonts w:ascii="黑体" w:hAnsi="黑体" w:cs="黑体" w:eastAsia="黑体"/>
                <w:sz w:val="18"/>
              </w:rPr>
              <w:t>年化费率【0.1%】。（适用【D】类份额）</w:t>
              <w:br/>
            </w:r>
            <w:r>
              <w:rPr>
                <w:rFonts w:ascii="黑体" w:hAnsi="黑体" w:cs="黑体" w:eastAsia="黑体"/>
                <w:sz w:val="18"/>
              </w:rPr>
              <w:t>年化费率【0.2%】。（适用【E】类份额）</w:t>
              <w:br/>
            </w:r>
            <w:r>
              <w:rPr>
                <w:rFonts w:ascii="黑体" w:hAnsi="黑体" w:cs="黑体" w:eastAsia="黑体"/>
                <w:sz w:val="18"/>
              </w:rPr>
              <w:t>年化费率【0.3%】。（适用【F】类份额）</w:t>
              <w:br/>
            </w:r>
            <w:r>
              <w:rPr>
                <w:rFonts w:ascii="黑体" w:hAnsi="黑体" w:cs="黑体" w:eastAsia="黑体"/>
                <w:sz w:val="18"/>
              </w:rPr>
              <w:t>（3）投资管理费：年化费率【0.03%】</w:t>
              <w:br/>
            </w:r>
            <w:r>
              <w:rPr>
                <w:rFonts w:ascii="黑体" w:hAnsi="黑体" w:cs="黑体" w:eastAsia="黑体"/>
                <w:sz w:val="18"/>
              </w:rPr>
              <w:t>（4）产品托管费：年化费率【0.01%】</w:t>
              <w:br/>
            </w:r>
            <w:r>
              <w:rPr>
                <w:rFonts w:ascii="黑体" w:hAnsi="黑体" w:cs="黑体" w:eastAsia="黑体"/>
                <w:sz w:val="18"/>
              </w:rPr>
              <w:t>（5）超额业绩报酬：</w:t>
              <w:br/>
            </w:r>
            <w:r>
              <w:rPr>
                <w:rFonts w:ascii="黑体" w:hAnsi="黑体" w:cs="黑体" w:eastAsia="黑体"/>
                <w:sz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50%】作为超额业绩报酬。</w:t>
            </w:r>
          </w:p>
          <w:p w14:paraId="101FD3C6">
            <w:pPr>
              <w:spacing w:line="360" w:lineRule="auto"/>
              <w:rPr>
                <w:rFonts w:hint="eastAsia" w:ascii="黑体" w:hAnsi="黑体" w:eastAsia="黑体"/>
                <w:bCs/>
                <w:sz w:val="18"/>
                <w:szCs w:val="18"/>
              </w:rPr>
            </w:pPr>
            <w:r>
              <w:rPr>
                <w:rFonts w:hint="eastAsia" w:ascii="黑体" w:hAnsi="黑体" w:eastAsia="黑体"/>
                <w:bCs/>
                <w:sz w:val="18"/>
                <w:szCs w:val="18"/>
              </w:rPr>
              <w:t>2.以上费用金额均按照四舍五入方法，保留到小数点后2位。</w:t>
            </w:r>
          </w:p>
          <w:p w14:paraId="24D7BB34">
            <w:pPr>
              <w:spacing w:line="360" w:lineRule="auto"/>
              <w:rPr>
                <w:rFonts w:ascii="黑体" w:hAnsi="黑体" w:eastAsia="黑体"/>
                <w:bCs/>
                <w:sz w:val="18"/>
                <w:szCs w:val="18"/>
              </w:rPr>
            </w:pPr>
            <w:r>
              <w:rPr>
                <w:rFonts w:hint="eastAsia" w:ascii="黑体" w:hAnsi="黑体" w:eastAsia="黑体"/>
                <w:bCs/>
                <w:sz w:val="18"/>
                <w:szCs w:val="18"/>
              </w:rPr>
              <w:t>3.产品管理人有权根据相关法律和国家政策规定，对理财产品费用的收费项目、收费条件、收费标准和收费方式等进行调整。产品管理人对费用的调整将依本产品说明书的“理财产品的信息披露”条款约定进行公告。</w:t>
            </w:r>
          </w:p>
        </w:tc>
      </w:tr>
      <w:tr w14:paraId="5F3AE36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7BDB2B6D">
            <w:pPr>
              <w:spacing w:line="360" w:lineRule="auto"/>
              <w:jc w:val="left"/>
              <w:rPr>
                <w:rFonts w:hAnsi="宋体"/>
                <w:sz w:val="18"/>
                <w:szCs w:val="18"/>
              </w:rPr>
            </w:pPr>
            <w:r>
              <w:rPr>
                <w:rFonts w:hint="eastAsia" w:ascii="宋体" w:hAnsi="宋体"/>
                <w:b/>
                <w:bCs/>
                <w:kern w:val="0"/>
                <w:sz w:val="18"/>
                <w:szCs w:val="18"/>
              </w:rPr>
              <w:t>税收</w:t>
            </w:r>
          </w:p>
        </w:tc>
        <w:tc>
          <w:tcPr>
            <w:tcW w:w="7674" w:type="dxa"/>
            <w:shd w:val="solid" w:color="FFFFFF" w:fill="FFFFFF"/>
            <w:vAlign w:val="center"/>
          </w:tcPr>
          <w:p w14:paraId="3949C2EE">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14:paraId="7BD9AC1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1BAB0C7B">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74" w:type="dxa"/>
            <w:shd w:val="solid" w:color="FFFFFF" w:fill="FFFFFF"/>
            <w:vAlign w:val="center"/>
          </w:tcPr>
          <w:p w14:paraId="220702AC">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14:paraId="75DB398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70" w:type="dxa"/>
            <w:shd w:val="solid" w:color="FFFFFF" w:fill="FFFFFF"/>
            <w:vAlign w:val="center"/>
          </w:tcPr>
          <w:p w14:paraId="20ABA2D5">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74" w:type="dxa"/>
            <w:shd w:val="solid" w:color="FFFFFF" w:fill="FFFFFF"/>
            <w:vAlign w:val="center"/>
          </w:tcPr>
          <w:p w14:paraId="6A954AA7">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permEnd w:id="13"/>
    </w:tbl>
    <w:p w14:paraId="123F93B5">
      <w:pPr>
        <w:pStyle w:val="34"/>
        <w:spacing w:line="360" w:lineRule="auto"/>
        <w:rPr>
          <w:rFonts w:hAnsi="宋体"/>
          <w:sz w:val="18"/>
          <w:szCs w:val="18"/>
        </w:rPr>
      </w:pPr>
    </w:p>
    <w:p w14:paraId="0B9AE1D2">
      <w:pPr>
        <w:widowControl/>
        <w:spacing w:line="360" w:lineRule="auto"/>
        <w:jc w:val="left"/>
        <w:rPr>
          <w:rFonts w:ascii="宋体" w:hAnsi="宋体"/>
          <w:color w:val="000000"/>
          <w:kern w:val="0"/>
          <w:sz w:val="18"/>
          <w:szCs w:val="18"/>
        </w:rPr>
      </w:pPr>
      <w:r>
        <w:rPr>
          <w:rFonts w:hAnsi="宋体"/>
          <w:sz w:val="18"/>
          <w:szCs w:val="18"/>
        </w:rPr>
        <w:br w:type="page"/>
      </w:r>
    </w:p>
    <w:p w14:paraId="200B93A2">
      <w:pPr>
        <w:pStyle w:val="2"/>
        <w:spacing w:before="0" w:after="0" w:line="360" w:lineRule="auto"/>
        <w:jc w:val="center"/>
        <w:rPr>
          <w:rFonts w:ascii="Times New Roman"/>
          <w:sz w:val="30"/>
        </w:rPr>
      </w:pPr>
      <w:bookmarkStart w:id="4" w:name="_Toc79154666"/>
      <w:bookmarkStart w:id="5" w:name="_Toc176189755"/>
      <w:r>
        <w:rPr>
          <w:rFonts w:ascii="Times New Roman"/>
          <w:sz w:val="30"/>
        </w:rPr>
        <w:t>第</w:t>
      </w:r>
      <w:r>
        <w:rPr>
          <w:rFonts w:hint="eastAsia" w:ascii="Times New Roman"/>
          <w:sz w:val="30"/>
        </w:rPr>
        <w:t>三条</w:t>
      </w:r>
      <w:r>
        <w:rPr>
          <w:rFonts w:ascii="Times New Roman"/>
          <w:sz w:val="30"/>
        </w:rPr>
        <w:t xml:space="preserve">  </w:t>
      </w:r>
      <w:bookmarkStart w:id="6" w:name="_Toc79392573"/>
      <w:r>
        <w:rPr>
          <w:rFonts w:hint="eastAsia" w:ascii="Times New Roman"/>
          <w:sz w:val="30"/>
        </w:rPr>
        <w:t>理财产品的认购</w:t>
      </w:r>
      <w:bookmarkEnd w:id="4"/>
      <w:bookmarkEnd w:id="5"/>
    </w:p>
    <w:p w14:paraId="0C1509BF">
      <w:pPr>
        <w:spacing w:line="360" w:lineRule="auto"/>
        <w:ind w:firstLine="361" w:firstLineChars="200"/>
        <w:rPr>
          <w:rFonts w:asciiTheme="minorEastAsia" w:hAnsiTheme="minorEastAsia"/>
          <w:b/>
          <w:bCs/>
          <w:sz w:val="18"/>
          <w:szCs w:val="18"/>
        </w:rPr>
      </w:pPr>
      <w:bookmarkStart w:id="7" w:name="_Hlt88031774"/>
      <w:bookmarkEnd w:id="7"/>
      <w:bookmarkStart w:id="8" w:name="_Hlt88031741"/>
      <w:r>
        <w:rPr>
          <w:rFonts w:hint="eastAsia" w:asciiTheme="minorEastAsia" w:hAnsiTheme="minorEastAsia"/>
          <w:b/>
          <w:bCs/>
          <w:sz w:val="18"/>
          <w:szCs w:val="18"/>
        </w:rPr>
        <w:t>（一）理财产品的认购</w:t>
      </w:r>
    </w:p>
    <w:p w14:paraId="098BB26F">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14:paraId="11B266FA">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14:paraId="78C45CD2">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14:paraId="5CA13539">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14:paraId="13678664">
      <w:pPr>
        <w:pStyle w:val="34"/>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14:paraId="3B3A7E46">
      <w:pPr>
        <w:pStyle w:val="34"/>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14:paraId="3C574F14">
      <w:pPr>
        <w:pStyle w:val="34"/>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25"/>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14:paraId="67AC957A">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jc w:val="center"/>
        </w:trPr>
        <w:tc>
          <w:tcPr>
            <w:tcW w:w="1984" w:type="dxa"/>
            <w:vAlign w:val="center"/>
          </w:tcPr>
          <w:p w14:paraId="426F8AEF">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14:paraId="35D67231">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14:paraId="1F1289A6">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14:paraId="5D4152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14:paraId="32C6BF3F">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14:paraId="73F638CE">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14:paraId="2945315F">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14:paraId="7BEE29A8">
      <w:pPr>
        <w:spacing w:line="360" w:lineRule="auto"/>
        <w:ind w:firstLine="360" w:firstLineChars="200"/>
        <w:rPr>
          <w:rFonts w:asciiTheme="minorEastAsia" w:hAnsiTheme="minorEastAsia"/>
          <w:bCs/>
          <w:kern w:val="0"/>
          <w:sz w:val="18"/>
          <w:szCs w:val="18"/>
        </w:rPr>
      </w:pPr>
      <w:r>
        <w:rPr>
          <w:rFonts w:hint="eastAsia" w:asciiTheme="minorEastAsia" w:hAnsiTheme="minorEastAsia"/>
          <w:bCs/>
          <w:sz w:val="18"/>
          <w:szCs w:val="18"/>
        </w:rPr>
        <w:t>认购期/募集期内投资者可</w:t>
      </w:r>
      <w:r>
        <w:rPr>
          <w:rFonts w:hint="eastAsia" w:asciiTheme="minorEastAsia" w:hAnsiTheme="minorEastAsia"/>
          <w:bCs/>
          <w:kern w:val="0"/>
          <w:sz w:val="18"/>
          <w:szCs w:val="18"/>
        </w:rPr>
        <w:t>提交认购申请</w:t>
      </w:r>
      <w:r>
        <w:rPr>
          <w:rFonts w:hint="eastAsia" w:asciiTheme="minorEastAsia" w:hAnsiTheme="minorEastAsia"/>
          <w:bCs/>
          <w:sz w:val="18"/>
          <w:szCs w:val="18"/>
        </w:rPr>
        <w:t>。</w:t>
      </w:r>
      <w:r>
        <w:rPr>
          <w:rFonts w:hint="eastAsia" w:asciiTheme="minorEastAsia" w:hAnsiTheme="minorEastAsia"/>
          <w:bCs/>
          <w:kern w:val="0"/>
          <w:sz w:val="18"/>
          <w:szCs w:val="18"/>
        </w:rPr>
        <w:t>提交认购申请并不代表认购成功，产品管理人将在认购确认日确认投资者是否认购成功，是否成功以管理人的确认结果为准。</w:t>
      </w:r>
    </w:p>
    <w:p w14:paraId="76DB878F">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14:paraId="7CAC9571">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14:paraId="030E01C1">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14:paraId="30370427">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14:paraId="02696507">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14:paraId="0E8FC65C">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14:paraId="087A997F">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14:paraId="41836785">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14:paraId="7F8750C5">
      <w:pPr>
        <w:pStyle w:val="34"/>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=净认购金额/产品份额面值</w:t>
      </w:r>
    </w:p>
    <w:p w14:paraId="4E81B41A">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14:paraId="7EB01AD3">
      <w:pPr>
        <w:pStyle w:val="34"/>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14:paraId="415C2D93">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01B33C05">
      <w:pPr>
        <w:pStyle w:val="34"/>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14:paraId="23D907E2">
      <w:pPr>
        <w:pStyle w:val="34"/>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14:paraId="12604F34">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14:paraId="25F8893A">
      <w:pPr>
        <w:pStyle w:val="34"/>
        <w:spacing w:line="360" w:lineRule="auto"/>
        <w:ind w:firstLine="360" w:firstLineChars="200"/>
        <w:rPr>
          <w:rFonts w:hint="eastAsia" w:asciiTheme="minorEastAsia" w:hAnsiTheme="minorEastAsia" w:eastAsiaTheme="minorEastAsia"/>
          <w:b w:val="0"/>
          <w:bCs/>
          <w:color w:val="auto"/>
          <w:sz w:val="18"/>
          <w:szCs w:val="18"/>
        </w:rPr>
      </w:pPr>
      <w:r>
        <w:rPr>
          <w:rFonts w:hint="eastAsia" w:asciiTheme="minorEastAsia" w:hAnsiTheme="minorEastAsia" w:eastAsiaTheme="minorEastAsia"/>
          <w:b w:val="0"/>
          <w:bCs/>
          <w:color w:val="auto"/>
          <w:sz w:val="18"/>
          <w:szCs w:val="18"/>
        </w:rPr>
        <w:t>投资者认购资金实际扣划至管理人募集账户后，认购资金在认购期/募集期内产生的利息（如有）归投资者所有；投资者认购资金实际扣划至管理人募集账户前的计息规则，具体以销售机构实际情况为准。</w:t>
      </w:r>
    </w:p>
    <w:p w14:paraId="469DC52A">
      <w:pPr>
        <w:pStyle w:val="34"/>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14:paraId="4591BEC4">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14:paraId="4BD3431F">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14:paraId="7B51559F">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14:paraId="6C3F35E1">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14:paraId="54855E54">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14:paraId="582AACE5">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14:paraId="3D2E3487">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14:paraId="14D60062">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14:paraId="1C692D46">
      <w:pPr>
        <w:pStyle w:val="34"/>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14:paraId="7908DB22">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14:paraId="2728EC26">
      <w:pPr>
        <w:pStyle w:val="34"/>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14:paraId="1307C9B1">
      <w:pPr>
        <w:pStyle w:val="34"/>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14:paraId="4AD6F3C4">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bookmarkEnd w:id="6"/>
    <w:bookmarkEnd w:id="8"/>
    <w:p w14:paraId="35DC918B">
      <w:pPr>
        <w:pStyle w:val="2"/>
        <w:spacing w:before="0" w:after="0" w:line="360" w:lineRule="auto"/>
        <w:jc w:val="center"/>
        <w:rPr>
          <w:rFonts w:ascii="Times New Roman"/>
          <w:sz w:val="30"/>
        </w:rPr>
      </w:pPr>
      <w:bookmarkStart w:id="9" w:name="_Toc176189756"/>
      <w:bookmarkStart w:id="10" w:name="_Toc4771"/>
      <w:bookmarkStart w:id="11" w:name="_Toc90742390"/>
      <w:bookmarkStart w:id="12" w:name="_Toc15203"/>
      <w:bookmarkStart w:id="13" w:name="_Toc22074"/>
      <w:bookmarkStart w:id="14" w:name="_Toc16265"/>
      <w:bookmarkStart w:id="15" w:name="_Toc90742688"/>
      <w:bookmarkStart w:id="16" w:name="_Toc74065741"/>
      <w:bookmarkStart w:id="17" w:name="_Toc29948"/>
      <w:bookmarkStart w:id="18" w:name="_Toc27189"/>
      <w:bookmarkStart w:id="19" w:name="_Toc79154668"/>
      <w:bookmarkStart w:id="20" w:name="_Toc27226"/>
      <w:bookmarkStart w:id="21" w:name="_Toc90742321"/>
      <w:bookmarkStart w:id="22" w:name="_Toc7151"/>
      <w:bookmarkStart w:id="23" w:name="_Toc6714"/>
      <w:bookmarkStart w:id="24" w:name="_Toc29784"/>
      <w:bookmarkStart w:id="25" w:name="_Toc3266"/>
      <w:r>
        <w:rPr>
          <w:rFonts w:ascii="Times New Roman"/>
          <w:sz w:val="30"/>
        </w:rPr>
        <w:t>第</w:t>
      </w:r>
      <w:r>
        <w:rPr>
          <w:rFonts w:hint="eastAsia" w:ascii="Times New Roman"/>
          <w:sz w:val="30"/>
        </w:rPr>
        <w:t>四条</w:t>
      </w:r>
      <w:r>
        <w:rPr>
          <w:rFonts w:ascii="Times New Roman"/>
          <w:sz w:val="30"/>
        </w:rPr>
        <w:t xml:space="preserve">  </w:t>
      </w:r>
      <w:r>
        <w:rPr>
          <w:rFonts w:hint="eastAsia" w:ascii="Times New Roman"/>
          <w:sz w:val="30"/>
        </w:rPr>
        <w:t>理财产品的申购与赎回</w:t>
      </w:r>
      <w:bookmarkEnd w:id="9"/>
      <w:bookmarkEnd w:id="10"/>
    </w:p>
    <w:p w14:paraId="4E79F041">
      <w:pPr>
        <w:pStyle w:val="34"/>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本产品为封闭式产品，不设置申购与赎回。</w:t>
      </w:r>
    </w:p>
    <w:p w14:paraId="6592D46A">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p w14:paraId="323141AB">
      <w:pPr>
        <w:pStyle w:val="2"/>
        <w:spacing w:before="0" w:after="0" w:line="360" w:lineRule="auto"/>
        <w:jc w:val="center"/>
        <w:rPr>
          <w:rFonts w:ascii="Times New Roman"/>
          <w:sz w:val="30"/>
        </w:rPr>
      </w:pPr>
      <w:bookmarkStart w:id="26" w:name="_Toc176189757"/>
      <w:r>
        <w:rPr>
          <w:rFonts w:ascii="Times New Roman"/>
          <w:sz w:val="30"/>
        </w:rPr>
        <w:t>第五</w:t>
      </w:r>
      <w:r>
        <w:rPr>
          <w:rFonts w:hint="eastAsia" w:ascii="Times New Roman"/>
          <w:sz w:val="30"/>
        </w:rPr>
        <w:t>条</w:t>
      </w:r>
      <w:r>
        <w:rPr>
          <w:rFonts w:ascii="Times New Roman"/>
          <w:sz w:val="30"/>
        </w:rPr>
        <w:t xml:space="preserve">  </w:t>
      </w:r>
      <w:r>
        <w:rPr>
          <w:rFonts w:hint="eastAsia" w:ascii="Times New Roman"/>
          <w:sz w:val="30"/>
        </w:rPr>
        <w:t>理财产品的投资</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4F88FCD4">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14:paraId="12779535">
      <w:pPr>
        <w:pStyle w:val="34"/>
        <w:spacing w:line="360" w:lineRule="auto"/>
        <w:ind w:firstLine="360" w:firstLineChars="200"/>
        <w:rPr>
          <w:rFonts w:asciiTheme="majorEastAsia" w:hAnsiTheme="majorEastAsia" w:eastAsiaTheme="majorEastAsia"/>
          <w:bCs/>
          <w:sz w:val="18"/>
          <w:szCs w:val="18"/>
        </w:rPr>
      </w:pPr>
      <w:permStart w:id="14" w:edGrp="everyone"/>
      <w:r>
        <w:rPr>
          <w:rFonts w:hint="eastAsia" w:asciiTheme="majorEastAsia" w:hAnsiTheme="majorEastAsia" w:eastAsiaTheme="majorEastAsia"/>
          <w:bCs/>
          <w:color w:val="auto"/>
          <w:sz w:val="18"/>
          <w:szCs w:val="18"/>
        </w:rPr>
        <w:t>【在严格控制组合风险的前提下，通过不断优化组合，力争实现超越业绩比较基准的收益。】</w:t>
      </w:r>
    </w:p>
    <w:permEnd w:id="14"/>
    <w:p w14:paraId="3C67E622">
      <w:pPr>
        <w:pStyle w:val="34"/>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14:paraId="0D4FAF70">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14:paraId="060B2579">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本产品主要投资范围包括但不限于（实际投资范围可根据法律法规及监管规定进行调整）：</w:t>
      </w:r>
    </w:p>
    <w:p w14:paraId="2573BA96">
      <w:pPr>
        <w:autoSpaceDE w:val="0"/>
        <w:autoSpaceDN w:val="0"/>
        <w:adjustRightInd w:val="0"/>
        <w:spacing w:line="360" w:lineRule="auto"/>
        <w:ind w:firstLine="360" w:firstLineChars="200"/>
        <w:jc w:val="left"/>
        <w:rPr>
          <w:rFonts w:hint="eastAsia" w:asciiTheme="majorEastAsia" w:hAnsiTheme="majorEastAsia" w:eastAsiaTheme="majorEastAsia"/>
          <w:bCs/>
          <w:color w:val="auto"/>
          <w:sz w:val="18"/>
          <w:szCs w:val="18"/>
        </w:rPr>
      </w:pPr>
      <w:permStart w:id="15" w:edGrp="everyone"/>
      <w:r>
        <w:rPr>
          <w:rFonts w:ascii="宋体" w:hAnsi="宋体" w:cs="宋体" w:eastAsia="宋体"/>
          <w:sz w:val="18"/>
        </w:rPr>
        <w:t>（1）银行存款、债券逆回购、货币基金等货币市场工具及其它银行间和交易所资金融通工具；</w:t>
        <w:br/>
      </w:r>
      <w:r>
        <w:rPr>
          <w:rFonts w:ascii="宋体" w:hAnsi="宋体" w:cs="宋体" w:eastAsia="宋体"/>
          <w:sz w:val="18"/>
        </w:rPr>
        <w:t>（2）国债、金融债、地方政府债、央行票据、同业存单、短期融资券、超短期融资券、中期票据、企业债、公司债、非公开定向债务融资工具、资产支持证券、次级债等银行间和交易所市场债券及债务融资工具以及其他固定收益类投资工具等。</w:t>
        <w:br/>
      </w:r>
      <w:r>
        <w:rPr>
          <w:rFonts w:ascii="宋体" w:hAnsi="宋体" w:cs="宋体" w:eastAsia="宋体"/>
          <w:sz w:val="18"/>
        </w:rPr>
        <w:t>（3）符合监管要求的债权类资产；</w:t>
        <w:br/>
      </w:r>
      <w:r>
        <w:rPr>
          <w:rFonts w:ascii="宋体" w:hAnsi="宋体" w:cs="宋体" w:eastAsia="宋体"/>
          <w:sz w:val="18"/>
        </w:rPr>
        <w:t>（4）投资于上述资产的资产管理产品，包括资金信托，证券公司、证券公司子公司、基金管理公司、基金管理子公司、期货公司、期货公司子公司、保险资产管理机构、金融资产投资公司发行的资产管理产品等（投资于上述资产的资产管理产品的管理人可以聘请符合法律法规规定的投资顾问）；</w:t>
        <w:br/>
      </w:r>
      <w:r>
        <w:rPr>
          <w:rFonts w:ascii="宋体" w:hAnsi="宋体" w:cs="宋体" w:eastAsia="宋体"/>
          <w:sz w:val="18"/>
        </w:rPr>
        <w:t>（5）其他风险不高于前述资产的资产。</w:t>
      </w:r>
    </w:p>
    <w:permEnd w:id="15"/>
    <w:p w14:paraId="3EE47AD8">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14:paraId="3E9BBC31">
      <w:pPr>
        <w:autoSpaceDE w:val="0"/>
        <w:autoSpaceDN w:val="0"/>
        <w:adjustRightInd w:val="0"/>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2.投资组合比例</w:t>
      </w:r>
    </w:p>
    <w:p w14:paraId="06467D42">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permStart w:id="16" w:edGrp="everyone"/>
      <w:r>
        <w:rPr>
          <w:rFonts w:ascii="宋体" w:hAnsi="宋体" w:cs="宋体" w:eastAsia="宋体"/>
          <w:sz w:val="18"/>
        </w:rPr>
        <w:t>（1）本产品投资于债权类资产的比例不低于产品总资产的80%。</w:t>
        <w:br/>
      </w:r>
      <w:r>
        <w:rPr>
          <w:rFonts w:ascii="宋体" w:hAnsi="宋体" w:cs="宋体" w:eastAsia="宋体"/>
          <w:sz w:val="18"/>
        </w:rPr>
        <w:t>（2）符合监管要求的非标准化债权类资产低于产品净资产的50%。</w:t>
      </w:r>
    </w:p>
    <w:p w14:paraId="65CB0DE4">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非因管理人主观因素导致突破前款规定比例限制的，产品管理人在流动性受限资产可出售、可转让或者恢复交易的15个交易日内调整至符合要求，监管机构规定的特殊情形除外。</w:t>
      </w:r>
    </w:p>
    <w:p w14:paraId="19BC4402">
      <w:pPr>
        <w:autoSpaceDE w:val="0"/>
        <w:autoSpaceDN w:val="0"/>
        <w:adjustRightInd w:val="0"/>
        <w:spacing w:line="360" w:lineRule="auto"/>
        <w:ind w:firstLine="361" w:firstLineChars="200"/>
        <w:jc w:val="left"/>
        <w:rPr>
          <w:rFonts w:hint="eastAsia" w:asciiTheme="majorEastAsia" w:hAnsiTheme="majorEastAsia" w:eastAsiaTheme="majorEastAsia"/>
          <w:b/>
          <w:bCs w:val="0"/>
          <w:kern w:val="0"/>
          <w:sz w:val="18"/>
          <w:szCs w:val="18"/>
        </w:rPr>
      </w:pPr>
      <w:r>
        <w:rPr>
          <w:rFonts w:hint="eastAsia" w:asciiTheme="majorEastAsia" w:hAnsiTheme="majorEastAsia" w:eastAsiaTheme="majorEastAsia"/>
          <w:b/>
          <w:bCs w:val="0"/>
          <w:kern w:val="0"/>
          <w:sz w:val="18"/>
          <w:szCs w:val="18"/>
        </w:rPr>
        <w:t>注：本产品可能投资不存在活跃交易市场，并且需要采用估值技术确定公允价值的资产，且投资上述资产的比例达到理财产品净资产50%以上。</w:t>
      </w:r>
    </w:p>
    <w:p w14:paraId="51752CD9">
      <w:pPr>
        <w:autoSpaceDE w:val="0"/>
        <w:autoSpaceDN w:val="0"/>
        <w:adjustRightInd w:val="0"/>
        <w:spacing w:line="360" w:lineRule="auto"/>
        <w:ind w:firstLine="360" w:firstLineChars="200"/>
        <w:jc w:val="left"/>
        <w:rPr>
          <w:rFonts w:hint="eastAsia" w:asciiTheme="majorEastAsia" w:hAnsiTheme="majorEastAsia" w:eastAsiaTheme="majorEastAsia"/>
          <w:bCs/>
          <w:kern w:val="0"/>
          <w:sz w:val="18"/>
          <w:szCs w:val="18"/>
        </w:rPr>
      </w:pPr>
    </w:p>
    <w:permEnd w:id="16"/>
    <w:p w14:paraId="59BD4F87">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14:paraId="7E09D651">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.如果法律法规对本</w:t>
      </w:r>
      <w:r>
        <w:rPr>
          <w:rFonts w:asciiTheme="majorEastAsia" w:hAnsiTheme="majorEastAsia" w:eastAsiaTheme="majorEastAsia"/>
          <w:bCs/>
          <w:sz w:val="18"/>
          <w:szCs w:val="18"/>
        </w:rPr>
        <w:t>销售文件</w:t>
      </w:r>
      <w:r>
        <w:rPr>
          <w:rFonts w:hint="eastAsia" w:asciiTheme="majorEastAsia" w:hAnsiTheme="majorEastAsia" w:eastAsiaTheme="majorEastAsia"/>
          <w:bCs/>
          <w:sz w:val="18"/>
          <w:szCs w:val="18"/>
        </w:rPr>
        <w:t>约定投资组合比例限制进行变更的，以变更后的规定为准。</w:t>
      </w:r>
    </w:p>
    <w:p w14:paraId="43E62DC3">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14:paraId="3D774B23">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permStart w:id="17" w:edGrp="everyone"/>
      <w:r>
        <w:rPr>
          <w:rFonts w:hint="eastAsia" w:asciiTheme="majorEastAsia" w:hAnsiTheme="majorEastAsia" w:eastAsiaTheme="majorEastAsia"/>
          <w:bCs/>
          <w:sz w:val="18"/>
          <w:szCs w:val="18"/>
        </w:rPr>
        <w:t>【</w:t>
      </w:r>
      <w:r>
        <w:rPr>
          <w:rFonts w:ascii="黑体" w:hAnsi="黑体" w:eastAsia="黑体"/>
          <w:bCs/>
          <w:sz w:val="18"/>
          <w:szCs w:val="18"/>
        </w:rPr>
        <w:t>3】</w:t>
      </w:r>
      <w:r>
        <w:rPr>
          <w:rFonts w:hint="eastAsia" w:ascii="黑体" w:hAnsi="黑体" w:eastAsia="黑体"/>
          <w:bCs/>
          <w:sz w:val="18"/>
          <w:szCs w:val="18"/>
        </w:rPr>
        <w:t>个月</w:t>
      </w:r>
      <w:permEnd w:id="17"/>
      <w:r>
        <w:rPr>
          <w:rFonts w:hint="eastAsia" w:ascii="黑体" w:hAnsi="黑体" w:eastAsia="黑体"/>
          <w:bCs/>
          <w:sz w:val="18"/>
          <w:szCs w:val="18"/>
        </w:rPr>
        <w:t>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w:t>
      </w:r>
      <w:r>
        <w:rPr>
          <w:rFonts w:asciiTheme="majorEastAsia" w:hAnsiTheme="majorEastAsia" w:eastAsiaTheme="majorEastAsia"/>
          <w:bCs/>
          <w:sz w:val="18"/>
          <w:szCs w:val="18"/>
        </w:rPr>
        <w:t>销售文件的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14:paraId="79D0DB83">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14:paraId="5116B7E6">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产品管理人应当根据市场情况调整投资范围、投资资产种类或投资比例，并进行相应公告。高风险类型的理财产品超出比例范围投资较低风险资产的，</w:t>
      </w:r>
      <w:r>
        <w:rPr>
          <w:rFonts w:ascii="黑体" w:hAnsi="黑体" w:eastAsia="黑体"/>
          <w:bCs/>
          <w:sz w:val="18"/>
          <w:szCs w:val="18"/>
        </w:rPr>
        <w:t>无需投资者</w:t>
      </w:r>
      <w:r>
        <w:rPr>
          <w:rFonts w:hint="eastAsia" w:ascii="黑体" w:hAnsi="黑体" w:eastAsia="黑体"/>
          <w:bCs/>
          <w:sz w:val="18"/>
          <w:szCs w:val="18"/>
        </w:rPr>
        <w:t>书面</w:t>
      </w:r>
      <w:r>
        <w:rPr>
          <w:rFonts w:ascii="黑体" w:hAnsi="黑体" w:eastAsia="黑体"/>
          <w:bCs/>
          <w:sz w:val="18"/>
          <w:szCs w:val="18"/>
        </w:rPr>
        <w:t>同意</w:t>
      </w:r>
      <w:r>
        <w:rPr>
          <w:rFonts w:hint="eastAsia" w:ascii="黑体" w:hAnsi="黑体" w:eastAsia="黑体"/>
          <w:bCs/>
          <w:sz w:val="18"/>
          <w:szCs w:val="18"/>
        </w:rPr>
        <w:t>。</w:t>
      </w:r>
    </w:p>
    <w:p w14:paraId="6FEC7F2D">
      <w:pPr>
        <w:pStyle w:val="34"/>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按照本销售文件及其他相关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14:paraId="03863529">
      <w:pPr>
        <w:pStyle w:val="34"/>
        <w:spacing w:line="360" w:lineRule="auto"/>
        <w:ind w:firstLine="271" w:firstLineChars="150"/>
      </w:pPr>
      <w:r>
        <w:rPr>
          <w:rFonts w:hint="eastAsia" w:asciiTheme="majorEastAsia" w:hAnsiTheme="majorEastAsia" w:eastAsiaTheme="majorEastAsia"/>
          <w:b/>
          <w:color w:val="auto"/>
          <w:sz w:val="18"/>
          <w:szCs w:val="18"/>
        </w:rPr>
        <w:t>（三）投资限制</w:t>
      </w:r>
    </w:p>
    <w:p w14:paraId="1D0816B3">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14:paraId="4FB3DAE4">
      <w:pPr>
        <w:spacing w:line="360" w:lineRule="auto"/>
        <w:ind w:firstLine="360" w:firstLineChars="200"/>
        <w:rPr>
          <w:rFonts w:asciiTheme="majorEastAsia" w:hAnsiTheme="majorEastAsia" w:eastAsiaTheme="majorEastAsia"/>
          <w:bCs/>
          <w:sz w:val="18"/>
          <w:szCs w:val="18"/>
        </w:rPr>
      </w:pPr>
      <w:permStart w:id="18" w:edGrp="everyone"/>
      <w:r>
        <w:rPr>
          <w:rFonts w:hint="eastAsia" w:asciiTheme="majorEastAsia" w:hAnsiTheme="majorEastAsia" w:eastAsiaTheme="majorEastAsia"/>
          <w:bCs/>
          <w:sz w:val="18"/>
          <w:szCs w:val="18"/>
        </w:rPr>
        <w:t>（1）每只公募理财产品投资单只证券或者单只公募证券投资基金的市值不得超过该理财产品净资产的10%。</w:t>
      </w:r>
    </w:p>
    <w:p w14:paraId="25700AF3">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（2）全部公募理财产品持有单只证券或单只公募证券投资基金的市值，不得超过该证券市值或该公募证券投资基金市值的30%。</w:t>
      </w:r>
    </w:p>
    <w:p w14:paraId="04AE434E">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（3）全部理财产品持有单一上市公司发行的股票，不得超过该上市公司可流通股票的30%。</w:t>
      </w:r>
    </w:p>
    <w:p w14:paraId="00164E03">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（4）全部开放式公募理财产品投资单一上市公司发行的股票不得超过该上市公司可流通股票的15%。 </w:t>
      </w:r>
    </w:p>
    <w:p w14:paraId="266E6767">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（5）本产品因为流动性需要可开展存单质押、债券正回购等融资业务，本产品总资产不超过净资产的200%。</w:t>
      </w:r>
    </w:p>
    <w:p w14:paraId="4F32CA91">
      <w:pPr>
        <w:spacing w:line="360" w:lineRule="auto"/>
        <w:ind w:firstLine="360" w:firstLineChars="200"/>
        <w:rPr>
          <w:rFonts w:hint="eastAsia" w:asciiTheme="majorEastAsia" w:hAnsiTheme="majorEastAsia" w:eastAsiaTheme="majorEastAsia"/>
          <w:bCs/>
          <w:sz w:val="18"/>
          <w:szCs w:val="18"/>
        </w:rPr>
      </w:pPr>
      <w:r>
        <w:rPr>
          <w:rFonts w:hint="eastAsia" w:asciiTheme="majorEastAsia" w:hAnsiTheme="majorEastAsia" w:eastAsiaTheme="majorEastAsia"/>
          <w:bCs/>
          <w:sz w:val="18"/>
          <w:szCs w:val="18"/>
        </w:rPr>
        <w:t>（6）本产品投资于信用债券、银行存款、非标准化债权类资产融资人的信用评级均不得低于AA+。</w:t>
      </w:r>
    </w:p>
    <w:p w14:paraId="5F0017E0">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非因产品管理人主观因素导致突破前述比例限制的，产品管理人应当在流动性受限资产可出售、可转让或者恢复交易的10个交易日内调整至符合要求，监管机构规定的特殊情形除外。本产品投资于国债、地方政府债券、中央银行票据、政府机构债券、政策性金融债券以及完全按照有关指数的构成比例进行投资的除外。</w:t>
      </w:r>
    </w:p>
    <w:permEnd w:id="18"/>
    <w:p w14:paraId="24F58A06">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其他投资限制：</w:t>
      </w:r>
    </w:p>
    <w:p w14:paraId="5892C459">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14:paraId="33B889C4">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14:paraId="4A697D86">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14:paraId="386CBD26">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14:paraId="696DC5FA">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14:paraId="159B63BA">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如果法律法规对本销售文件约定的投资限制进行变更的，以变更后的规定为准。</w:t>
      </w:r>
    </w:p>
    <w:p w14:paraId="23D113C1">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14:paraId="0684BAF8">
      <w:pPr>
        <w:pStyle w:val="34"/>
        <w:spacing w:line="360" w:lineRule="auto"/>
        <w:ind w:firstLine="360" w:firstLineChars="200"/>
        <w:rPr>
          <w:rFonts w:asciiTheme="majorEastAsia" w:hAnsiTheme="majorEastAsia" w:eastAsiaTheme="majorEastAsia"/>
          <w:sz w:val="18"/>
          <w:szCs w:val="18"/>
        </w:rPr>
      </w:pPr>
      <w:permStart w:id="19" w:edGrp="everyone"/>
      <w:r>
        <w:rPr>
          <w:rFonts w:hint="eastAsia" w:asciiTheme="majorEastAsia" w:hAnsiTheme="majorEastAsia" w:eastAsiaTheme="majorEastAsia"/>
          <w:sz w:val="18"/>
          <w:szCs w:val="18"/>
        </w:rPr>
        <w:t>【产品采取绝对收益策略，追求资产长期稳定增值。】</w:t>
      </w:r>
    </w:p>
    <w:permEnd w:id="19"/>
    <w:p w14:paraId="663B8546">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sz w:val="18"/>
          <w:szCs w:val="18"/>
        </w:rPr>
        <w:br w:type="page"/>
      </w:r>
    </w:p>
    <w:p w14:paraId="27479644">
      <w:pPr>
        <w:pStyle w:val="2"/>
        <w:spacing w:before="0" w:after="0" w:line="360" w:lineRule="auto"/>
        <w:jc w:val="center"/>
        <w:rPr>
          <w:rFonts w:ascii="Times New Roman"/>
          <w:sz w:val="30"/>
        </w:rPr>
      </w:pPr>
      <w:bookmarkStart w:id="27" w:name="_Toc26986"/>
      <w:bookmarkStart w:id="28" w:name="_Toc14893"/>
      <w:bookmarkStart w:id="29" w:name="_Toc7848"/>
      <w:bookmarkStart w:id="30" w:name="_Toc141703885"/>
      <w:bookmarkStart w:id="31" w:name="_Toc1823"/>
      <w:bookmarkStart w:id="32" w:name="_Toc17912"/>
      <w:bookmarkStart w:id="33" w:name="_Toc139991735"/>
      <w:bookmarkStart w:id="34" w:name="_Toc79154669"/>
      <w:bookmarkStart w:id="35" w:name="_Toc176189758"/>
      <w:bookmarkStart w:id="36" w:name="_Toc74065742"/>
      <w:bookmarkStart w:id="37" w:name="_Toc18797"/>
      <w:bookmarkStart w:id="38" w:name="_Toc18526"/>
      <w:bookmarkStart w:id="39" w:name="_Toc4741"/>
      <w:bookmarkStart w:id="40" w:name="_Toc18329"/>
      <w:bookmarkStart w:id="41" w:name="_Toc21988"/>
      <w:r>
        <w:rPr>
          <w:rFonts w:ascii="Times New Roman"/>
          <w:sz w:val="30"/>
        </w:rPr>
        <w:t>第六</w:t>
      </w:r>
      <w:r>
        <w:rPr>
          <w:rFonts w:hint="eastAsia" w:ascii="Times New Roman"/>
          <w:sz w:val="30"/>
        </w:rPr>
        <w:t>条</w:t>
      </w:r>
      <w:r>
        <w:rPr>
          <w:rFonts w:ascii="Times New Roman"/>
          <w:sz w:val="30"/>
        </w:rPr>
        <w:t xml:space="preserve">  </w:t>
      </w:r>
      <w:r>
        <w:rPr>
          <w:rFonts w:hint="eastAsia" w:ascii="Times New Roman"/>
          <w:sz w:val="30"/>
        </w:rPr>
        <w:t>理财产品的资产</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p w14:paraId="54E9B9EF">
      <w:pPr>
        <w:pStyle w:val="34"/>
        <w:spacing w:line="360" w:lineRule="auto"/>
        <w:ind w:firstLine="361" w:firstLineChars="200"/>
        <w:rPr>
          <w:rFonts w:asciiTheme="majorEastAsia" w:hAnsiTheme="majorEastAsia" w:eastAsiaTheme="majorEastAsia"/>
          <w:b/>
          <w:color w:val="auto"/>
          <w:sz w:val="18"/>
          <w:szCs w:val="18"/>
        </w:rPr>
      </w:pPr>
      <w:bookmarkStart w:id="42" w:name="_Hlk490214295"/>
      <w:r>
        <w:rPr>
          <w:rFonts w:hint="eastAsia" w:asciiTheme="majorEastAsia" w:hAnsiTheme="majorEastAsia" w:eastAsiaTheme="majorEastAsia"/>
          <w:b/>
          <w:color w:val="auto"/>
          <w:sz w:val="18"/>
          <w:szCs w:val="18"/>
        </w:rPr>
        <w:t>（一）理财产品的资产的保管和处分</w:t>
      </w:r>
    </w:p>
    <w:p w14:paraId="2402C021">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14:paraId="7D99B642">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14:paraId="661BA41C">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14:paraId="5F37564B">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14:paraId="10D62428">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14:paraId="4EA2A300">
      <w:pPr>
        <w:pStyle w:val="34"/>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14:paraId="76480E1F">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2"/>
    <w:p w14:paraId="26E31E4B">
      <w:pPr>
        <w:pStyle w:val="2"/>
        <w:spacing w:before="0" w:after="0" w:line="360" w:lineRule="auto"/>
        <w:jc w:val="center"/>
        <w:rPr>
          <w:rFonts w:ascii="Times New Roman"/>
          <w:sz w:val="30"/>
        </w:rPr>
      </w:pPr>
      <w:bookmarkStart w:id="43" w:name="_Toc23261"/>
      <w:bookmarkStart w:id="44" w:name="_Toc1427"/>
      <w:bookmarkStart w:id="45" w:name="_Toc79392606"/>
      <w:bookmarkStart w:id="46" w:name="_Toc79154670"/>
      <w:bookmarkStart w:id="47" w:name="_Toc98560352"/>
      <w:bookmarkStart w:id="48" w:name="_Toc139991736"/>
      <w:bookmarkStart w:id="49" w:name="_Toc74065743"/>
      <w:bookmarkStart w:id="50" w:name="_Toc48649707"/>
      <w:bookmarkStart w:id="51" w:name="_Toc17244"/>
      <w:bookmarkStart w:id="52" w:name="_Toc610"/>
      <w:bookmarkStart w:id="53" w:name="_Toc23822"/>
      <w:bookmarkStart w:id="54" w:name="_Toc123112234"/>
      <w:bookmarkStart w:id="55" w:name="_Toc123102453"/>
      <w:bookmarkStart w:id="56" w:name="_Toc123051452"/>
      <w:bookmarkStart w:id="57" w:name="_Toc7920"/>
      <w:bookmarkStart w:id="58" w:name="_Toc10463"/>
      <w:bookmarkStart w:id="59" w:name="_Toc176189759"/>
      <w:bookmarkStart w:id="60" w:name="_Toc4003"/>
      <w:bookmarkStart w:id="61" w:name="_Toc141703886"/>
      <w:bookmarkStart w:id="62" w:name="_Toc1270"/>
      <w:bookmarkStart w:id="63" w:name="_Toc20733"/>
      <w:r>
        <w:rPr>
          <w:rFonts w:ascii="Times New Roman"/>
          <w:sz w:val="30"/>
        </w:rPr>
        <w:t>第七</w:t>
      </w:r>
      <w:r>
        <w:rPr>
          <w:rFonts w:hint="eastAsia" w:ascii="Times New Roman"/>
          <w:sz w:val="30"/>
        </w:rPr>
        <w:t>条</w:t>
      </w:r>
      <w:r>
        <w:rPr>
          <w:rFonts w:ascii="Times New Roman"/>
          <w:sz w:val="30"/>
        </w:rPr>
        <w:t xml:space="preserve">  </w:t>
      </w:r>
      <w:r>
        <w:rPr>
          <w:rFonts w:hint="eastAsia" w:ascii="Times New Roman"/>
          <w:sz w:val="30"/>
        </w:rPr>
        <w:t>理财产品项下资产的估值</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p>
    <w:p w14:paraId="39674CA5">
      <w:pPr>
        <w:pStyle w:val="34"/>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14:paraId="3DE6BB69">
      <w:pPr>
        <w:pStyle w:val="34"/>
        <w:spacing w:line="360" w:lineRule="auto"/>
        <w:ind w:firstLine="361" w:firstLineChars="200"/>
        <w:rPr>
          <w:rFonts w:hAnsi="宋体"/>
          <w:b/>
          <w:bCs/>
          <w:sz w:val="18"/>
          <w:szCs w:val="18"/>
        </w:rPr>
      </w:pPr>
      <w:r>
        <w:rPr>
          <w:rFonts w:hint="eastAsia" w:hAnsi="宋体"/>
          <w:b/>
          <w:bCs/>
          <w:sz w:val="18"/>
          <w:szCs w:val="18"/>
        </w:rPr>
        <w:t>（一）估值目的</w:t>
      </w:r>
    </w:p>
    <w:p w14:paraId="5F9C151F">
      <w:pPr>
        <w:pStyle w:val="34"/>
        <w:spacing w:line="360" w:lineRule="auto"/>
        <w:ind w:firstLine="360" w:firstLineChars="200"/>
        <w:rPr>
          <w:rFonts w:hAnsi="宋体"/>
          <w:sz w:val="18"/>
          <w:szCs w:val="18"/>
        </w:rPr>
      </w:pPr>
      <w:r>
        <w:rPr>
          <w:rFonts w:hint="eastAsia" w:hAnsi="宋体"/>
          <w:sz w:val="18"/>
          <w:szCs w:val="18"/>
        </w:rPr>
        <w:t>理财资产估值的目的是客观、准确地反映理财资产是否保值、增值。</w:t>
      </w:r>
    </w:p>
    <w:p w14:paraId="2936C556">
      <w:pPr>
        <w:pStyle w:val="34"/>
        <w:spacing w:line="360" w:lineRule="auto"/>
        <w:ind w:firstLine="361" w:firstLineChars="200"/>
        <w:rPr>
          <w:rFonts w:hAnsi="宋体"/>
          <w:b/>
          <w:bCs/>
          <w:sz w:val="18"/>
          <w:szCs w:val="18"/>
        </w:rPr>
      </w:pPr>
      <w:r>
        <w:rPr>
          <w:rFonts w:hint="eastAsia" w:hAnsi="宋体"/>
          <w:b/>
          <w:bCs/>
          <w:sz w:val="18"/>
          <w:szCs w:val="18"/>
        </w:rPr>
        <w:t>（二）估值频率</w:t>
      </w:r>
    </w:p>
    <w:p w14:paraId="5D8D6F2F">
      <w:pPr>
        <w:pStyle w:val="34"/>
        <w:spacing w:line="360" w:lineRule="auto"/>
        <w:ind w:firstLine="450" w:firstLineChars="250"/>
        <w:rPr>
          <w:sz w:val="18"/>
          <w:szCs w:val="18"/>
        </w:rPr>
      </w:pPr>
      <w:permStart w:id="20" w:edGrp="everyone"/>
      <w:r>
        <w:rPr>
          <w:rFonts w:hint="eastAsia" w:hAnsi="宋体"/>
          <w:sz w:val="18"/>
          <w:szCs w:val="18"/>
        </w:rPr>
        <w:t>本产品存续期间，每【周】进行一次估值。如遇产品到期日、季度末、半年度末、年度末等时间节点管理人将增加估值日。</w:t>
      </w:r>
    </w:p>
    <w:permEnd w:id="20"/>
    <w:p w14:paraId="7026023D">
      <w:pPr>
        <w:pStyle w:val="34"/>
        <w:spacing w:line="360" w:lineRule="auto"/>
        <w:ind w:firstLine="452" w:firstLineChars="250"/>
        <w:rPr>
          <w:rFonts w:hAnsi="宋体"/>
          <w:b/>
          <w:bCs/>
          <w:sz w:val="18"/>
          <w:szCs w:val="18"/>
        </w:rPr>
      </w:pPr>
      <w:r>
        <w:rPr>
          <w:rFonts w:hint="eastAsia" w:hAnsi="宋体"/>
          <w:b/>
          <w:bCs/>
          <w:sz w:val="18"/>
          <w:szCs w:val="18"/>
        </w:rPr>
        <w:t>（三）估值对象</w:t>
      </w:r>
    </w:p>
    <w:p w14:paraId="3949E5B1">
      <w:pPr>
        <w:pStyle w:val="34"/>
        <w:spacing w:line="360" w:lineRule="auto"/>
        <w:ind w:firstLine="360" w:firstLineChars="200"/>
        <w:rPr>
          <w:rFonts w:hAnsi="宋体"/>
          <w:sz w:val="18"/>
          <w:szCs w:val="18"/>
        </w:rPr>
      </w:pPr>
      <w:r>
        <w:rPr>
          <w:rFonts w:hint="eastAsia" w:hAnsi="宋体"/>
          <w:sz w:val="18"/>
          <w:szCs w:val="18"/>
        </w:rPr>
        <w:t>本产品所拥有的各类证券、资产管理产品、银行存款、应收款项、其它投资等资产及负债。</w:t>
      </w:r>
    </w:p>
    <w:p w14:paraId="4371A373">
      <w:pPr>
        <w:pStyle w:val="34"/>
        <w:spacing w:line="360" w:lineRule="auto"/>
        <w:ind w:firstLine="452" w:firstLineChars="250"/>
        <w:rPr>
          <w:rFonts w:hAnsi="宋体"/>
          <w:b/>
          <w:bCs/>
          <w:sz w:val="18"/>
          <w:szCs w:val="18"/>
        </w:rPr>
      </w:pPr>
      <w:r>
        <w:rPr>
          <w:rFonts w:hint="eastAsia" w:hAnsi="宋体"/>
          <w:b/>
          <w:bCs/>
          <w:sz w:val="18"/>
          <w:szCs w:val="18"/>
        </w:rPr>
        <w:t>（四）估值方法</w:t>
      </w:r>
    </w:p>
    <w:p w14:paraId="3729B840">
      <w:pPr>
        <w:pStyle w:val="34"/>
        <w:spacing w:line="360" w:lineRule="auto"/>
        <w:ind w:firstLine="360" w:firstLineChars="200"/>
        <w:rPr>
          <w:rFonts w:hAnsi="宋体"/>
          <w:bCs/>
          <w:sz w:val="18"/>
          <w:szCs w:val="18"/>
        </w:rPr>
      </w:pPr>
      <w:r>
        <w:rPr>
          <w:rFonts w:hAnsi="宋体"/>
          <w:bCs/>
          <w:sz w:val="18"/>
          <w:szCs w:val="18"/>
        </w:rPr>
        <w:t>1.标准化债权类资产估值</w:t>
      </w:r>
    </w:p>
    <w:p w14:paraId="4AFA2462">
      <w:pPr>
        <w:pStyle w:val="34"/>
        <w:spacing w:line="360" w:lineRule="auto"/>
        <w:ind w:firstLine="360" w:firstLineChars="200"/>
        <w:rPr>
          <w:rFonts w:hAnsi="宋体"/>
          <w:sz w:val="18"/>
          <w:szCs w:val="18"/>
        </w:rPr>
      </w:pPr>
      <w:r>
        <w:rPr>
          <w:rFonts w:hint="eastAsia" w:hAnsi="宋体"/>
          <w:sz w:val="18"/>
          <w:szCs w:val="18"/>
        </w:rPr>
        <w:t>标准化债权类资产，是指满足中国人民银行制定的标准化债权类资产具体认定规则的债权类资产。主要包括：证券交易所与银行间市场发行的债券、资产支持证券、资产支持票据等。估值方法具体如下：</w:t>
      </w:r>
    </w:p>
    <w:p w14:paraId="684A6BA2">
      <w:pPr>
        <w:pStyle w:val="34"/>
        <w:spacing w:line="360" w:lineRule="auto"/>
        <w:ind w:firstLine="360" w:firstLineChars="200"/>
        <w:rPr>
          <w:rFonts w:hAnsi="宋体"/>
          <w:sz w:val="18"/>
          <w:szCs w:val="18"/>
        </w:rPr>
      </w:pPr>
      <w:r>
        <w:rPr>
          <w:rFonts w:hint="eastAsia" w:hAnsi="宋体"/>
          <w:sz w:val="18"/>
          <w:szCs w:val="18"/>
        </w:rPr>
        <w:t>（1）投资以收取合同现金流量为目的并持有到期的标准化债权类资产，可使用摊余成本计量。</w:t>
      </w:r>
    </w:p>
    <w:p w14:paraId="0270F2BB">
      <w:pPr>
        <w:pStyle w:val="34"/>
        <w:spacing w:line="360" w:lineRule="auto"/>
        <w:ind w:firstLine="360" w:firstLineChars="200"/>
        <w:rPr>
          <w:rFonts w:hAnsi="宋体"/>
          <w:sz w:val="18"/>
          <w:szCs w:val="18"/>
        </w:rPr>
      </w:pPr>
      <w:r>
        <w:rPr>
          <w:rFonts w:hint="eastAsia" w:hAnsi="宋体"/>
          <w:sz w:val="18"/>
          <w:szCs w:val="18"/>
        </w:rPr>
        <w:t>（2）除（1）以外的标准化债权类资产以公允价值计量，主要依据为第三方估值机构提供的价格数据。第三方估值机构包括：中央国债登记结算公司和中证指数有限公司。</w:t>
      </w:r>
    </w:p>
    <w:p w14:paraId="78379D2A">
      <w:pPr>
        <w:pStyle w:val="34"/>
        <w:spacing w:line="360" w:lineRule="auto"/>
        <w:ind w:firstLine="360" w:firstLineChars="200"/>
        <w:rPr>
          <w:rFonts w:hAnsi="宋体"/>
          <w:sz w:val="18"/>
          <w:szCs w:val="18"/>
        </w:rPr>
      </w:pPr>
      <w:r>
        <w:rPr>
          <w:rFonts w:hint="eastAsia" w:hAnsi="宋体"/>
          <w:sz w:val="18"/>
          <w:szCs w:val="18"/>
        </w:rPr>
        <w:t>（</w:t>
      </w:r>
      <w:r>
        <w:rPr>
          <w:rFonts w:hAnsi="宋体"/>
          <w:sz w:val="18"/>
          <w:szCs w:val="18"/>
        </w:rPr>
        <w:t>3</w:t>
      </w:r>
      <w:r>
        <w:rPr>
          <w:rFonts w:hint="eastAsia" w:hAnsi="宋体"/>
          <w:sz w:val="18"/>
          <w:szCs w:val="18"/>
        </w:rPr>
        <w:t>）对已发行但未上市流通，且第三方估值机构未提供估值数据的标准化债权类资产，</w:t>
      </w:r>
      <w:r>
        <w:rPr>
          <w:rFonts w:hint="eastAsia" w:asciiTheme="majorEastAsia" w:hAnsiTheme="majorEastAsia" w:eastAsiaTheme="majorEastAsia"/>
          <w:bCs/>
          <w:color w:val="auto"/>
          <w:sz w:val="18"/>
          <w:szCs w:val="18"/>
        </w:rPr>
        <w:t>采用当前情况下适用并且有足够可利用数据和其他信息支持的估值技术确定其公允价值。</w:t>
      </w:r>
    </w:p>
    <w:p w14:paraId="2E6717E2">
      <w:pPr>
        <w:pStyle w:val="34"/>
        <w:spacing w:line="360" w:lineRule="auto"/>
        <w:ind w:firstLine="360" w:firstLineChars="200"/>
        <w:rPr>
          <w:rFonts w:hAnsi="宋体"/>
          <w:sz w:val="18"/>
          <w:szCs w:val="18"/>
        </w:rPr>
      </w:pPr>
      <w:r>
        <w:rPr>
          <w:rFonts w:hint="eastAsia" w:hAnsi="宋体"/>
          <w:sz w:val="18"/>
          <w:szCs w:val="18"/>
        </w:rPr>
        <w:t>（</w:t>
      </w:r>
      <w:r>
        <w:rPr>
          <w:rFonts w:hAnsi="宋体"/>
          <w:sz w:val="18"/>
          <w:szCs w:val="18"/>
        </w:rPr>
        <w:t>4</w:t>
      </w:r>
      <w:r>
        <w:rPr>
          <w:rFonts w:hint="eastAsia" w:hAnsi="宋体"/>
          <w:sz w:val="18"/>
          <w:szCs w:val="18"/>
        </w:rPr>
        <w:t>）</w:t>
      </w:r>
      <w:r>
        <w:rPr>
          <w:rFonts w:hint="eastAsia" w:asciiTheme="majorEastAsia" w:hAnsiTheme="majorEastAsia" w:eastAsiaTheme="majorEastAsia"/>
          <w:bCs/>
          <w:color w:val="auto"/>
          <w:sz w:val="18"/>
          <w:szCs w:val="18"/>
        </w:rPr>
        <w:t>对于</w:t>
      </w:r>
      <w:r>
        <w:rPr>
          <w:rFonts w:asciiTheme="majorEastAsia" w:hAnsiTheme="majorEastAsia" w:eastAsiaTheme="majorEastAsia"/>
          <w:bCs/>
          <w:color w:val="auto"/>
          <w:sz w:val="18"/>
          <w:szCs w:val="18"/>
        </w:rPr>
        <w:t>同时在多个不同市场交易的标准化债权类资产，</w:t>
      </w:r>
      <w:r>
        <w:rPr>
          <w:rFonts w:hint="eastAsia" w:asciiTheme="majorEastAsia" w:hAnsiTheme="majorEastAsia" w:eastAsiaTheme="majorEastAsia"/>
          <w:bCs/>
          <w:color w:val="auto"/>
          <w:sz w:val="18"/>
          <w:szCs w:val="18"/>
        </w:rPr>
        <w:t>按照其</w:t>
      </w:r>
      <w:r>
        <w:rPr>
          <w:rFonts w:hint="eastAsia" w:hAnsi="宋体"/>
          <w:sz w:val="18"/>
          <w:szCs w:val="18"/>
        </w:rPr>
        <w:t>所处的市场及相应的估值标准，分别进行估值。</w:t>
      </w:r>
    </w:p>
    <w:p w14:paraId="6E44DB66">
      <w:pPr>
        <w:pStyle w:val="34"/>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color w:val="auto"/>
          <w:sz w:val="18"/>
        </w:rPr>
        <w:t>2.</w:t>
      </w:r>
      <w:r>
        <w:rPr>
          <w:rFonts w:hint="eastAsia" w:asciiTheme="majorEastAsia" w:hAnsiTheme="majorEastAsia" w:eastAsiaTheme="majorEastAsia"/>
          <w:bCs/>
          <w:color w:val="auto"/>
          <w:sz w:val="18"/>
          <w:szCs w:val="18"/>
        </w:rPr>
        <w:t>境外债券</w:t>
      </w:r>
    </w:p>
    <w:p w14:paraId="6D753D2E">
      <w:pPr>
        <w:pStyle w:val="34"/>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对于境外发行的债券，</w:t>
      </w:r>
      <w:r>
        <w:rPr>
          <w:rFonts w:hint="eastAsia" w:hAnsi="宋体"/>
          <w:color w:val="auto"/>
          <w:sz w:val="18"/>
          <w:szCs w:val="18"/>
        </w:rPr>
        <w:t>参照主要做市商或其他权威价格提供机构的报价进行估值，若估值日债券价格无法通过公开信息取得，参照最近一个交易日可取得的主要做市商或其他权威价格提供机构的报价进行估值。</w:t>
      </w:r>
    </w:p>
    <w:p w14:paraId="2BB44A06">
      <w:pPr>
        <w:pStyle w:val="34"/>
        <w:spacing w:line="360" w:lineRule="auto"/>
        <w:ind w:firstLine="360" w:firstLineChars="200"/>
        <w:rPr>
          <w:rFonts w:hAnsi="宋体"/>
          <w:sz w:val="18"/>
          <w:szCs w:val="18"/>
        </w:rPr>
      </w:pPr>
      <w:r>
        <w:rPr>
          <w:rFonts w:hAnsi="宋体"/>
          <w:bCs/>
          <w:sz w:val="18"/>
          <w:szCs w:val="18"/>
        </w:rPr>
        <w:t>3.非标准化债权类资产</w:t>
      </w:r>
    </w:p>
    <w:p w14:paraId="4D218297">
      <w:pPr>
        <w:pStyle w:val="34"/>
        <w:spacing w:line="360" w:lineRule="auto"/>
        <w:ind w:firstLine="360" w:firstLineChars="200"/>
        <w:rPr>
          <w:rFonts w:hAnsi="宋体"/>
          <w:sz w:val="18"/>
          <w:szCs w:val="18"/>
        </w:rPr>
      </w:pPr>
      <w:r>
        <w:rPr>
          <w:rFonts w:hint="eastAsia" w:hAnsi="宋体"/>
          <w:sz w:val="18"/>
          <w:szCs w:val="18"/>
        </w:rPr>
        <w:t>非标准化债权类资产，是指不满足中国人民银行制定的标准化债权类资产认定标准的债权类资产。可选取第三方估值机构的价格数据或采用估值技术进行估值；符合监管机构规定的，可按照企业会计准则以摊余成本计量。</w:t>
      </w:r>
    </w:p>
    <w:p w14:paraId="7B82EEE9">
      <w:pPr>
        <w:pStyle w:val="34"/>
        <w:spacing w:line="360" w:lineRule="auto"/>
        <w:ind w:firstLine="360" w:firstLineChars="200"/>
        <w:rPr>
          <w:rFonts w:hAnsi="宋体"/>
          <w:bCs/>
          <w:sz w:val="18"/>
          <w:szCs w:val="18"/>
        </w:rPr>
      </w:pPr>
      <w:r>
        <w:rPr>
          <w:rFonts w:hAnsi="宋体"/>
          <w:bCs/>
          <w:sz w:val="18"/>
          <w:szCs w:val="18"/>
        </w:rPr>
        <w:t>4.上市公司股票估值</w:t>
      </w:r>
    </w:p>
    <w:p w14:paraId="6106B2D2">
      <w:pPr>
        <w:pStyle w:val="34"/>
        <w:spacing w:line="360" w:lineRule="auto"/>
        <w:ind w:firstLine="360" w:firstLineChars="200"/>
        <w:rPr>
          <w:rFonts w:hAnsi="宋体"/>
          <w:sz w:val="18"/>
          <w:szCs w:val="18"/>
        </w:rPr>
      </w:pPr>
      <w:r>
        <w:rPr>
          <w:rFonts w:hint="eastAsia" w:hAnsi="宋体"/>
          <w:sz w:val="18"/>
          <w:szCs w:val="18"/>
        </w:rPr>
        <w:t>上市公司股票包括正常流通普通股、流通受限股票、长期停牌股票和新发行未上市股票。具体估值方法如下：</w:t>
      </w:r>
    </w:p>
    <w:p w14:paraId="13B91E35">
      <w:pPr>
        <w:pStyle w:val="34"/>
        <w:spacing w:line="360" w:lineRule="auto"/>
        <w:ind w:firstLine="360" w:firstLineChars="200"/>
        <w:rPr>
          <w:rFonts w:hAnsi="宋体"/>
          <w:sz w:val="18"/>
          <w:szCs w:val="18"/>
        </w:rPr>
      </w:pPr>
      <w:r>
        <w:rPr>
          <w:rFonts w:hint="eastAsia" w:hAnsi="宋体"/>
          <w:sz w:val="18"/>
          <w:szCs w:val="18"/>
        </w:rPr>
        <w:t>（1）在证券交易所上市流通的股票，估值日有交易的，按估值日收盘价估值；估值日无交易，且最近交易日后未发生影响公允价值计量的重大事件的，按最近交易日的收盘价估值；估值日无交易，且最近交易日后发生影响公允价值计量的重大事件的，应参考类似投资品种的现行价格及重大变化因素，调整最近交易日的收盘价确定公允价值。</w:t>
      </w:r>
    </w:p>
    <w:p w14:paraId="796BC7CD">
      <w:pPr>
        <w:pStyle w:val="34"/>
        <w:spacing w:line="360" w:lineRule="auto"/>
        <w:ind w:firstLine="360" w:firstLineChars="200"/>
        <w:rPr>
          <w:rFonts w:hAnsi="宋体"/>
          <w:sz w:val="18"/>
          <w:szCs w:val="18"/>
        </w:rPr>
      </w:pPr>
      <w:r>
        <w:rPr>
          <w:rFonts w:hint="eastAsia" w:hAnsi="宋体"/>
          <w:sz w:val="18"/>
          <w:szCs w:val="18"/>
        </w:rPr>
        <w:t>（2）送股、转增股、配股和公开增发新股等发行未上市的股票，按估值日在证券交易所上市的同一股票的收盘价或最近交易日的收盘价确定公允价值。</w:t>
      </w:r>
    </w:p>
    <w:p w14:paraId="5AAAE98C">
      <w:pPr>
        <w:pStyle w:val="34"/>
        <w:spacing w:line="360" w:lineRule="auto"/>
        <w:ind w:firstLine="360" w:firstLineChars="200"/>
        <w:rPr>
          <w:rFonts w:hAnsi="宋体"/>
          <w:sz w:val="18"/>
          <w:szCs w:val="18"/>
        </w:rPr>
      </w:pPr>
      <w:r>
        <w:rPr>
          <w:rFonts w:hint="eastAsia" w:hAnsi="宋体"/>
          <w:sz w:val="18"/>
          <w:szCs w:val="18"/>
        </w:rPr>
        <w:t>（3）通过公开、非公开等方式取得且有明确限售期的股票，在限售期内，应以证券交易所上市交易的同一股票的公允价值为基础，引入流动性折扣进行估值。流动性折扣可依据第三方估值机构提供的数据，或采用看跌期权法以及其他合理的估值方法分析确定。</w:t>
      </w:r>
    </w:p>
    <w:p w14:paraId="37A19BFF">
      <w:pPr>
        <w:pStyle w:val="34"/>
        <w:spacing w:line="360" w:lineRule="auto"/>
        <w:ind w:firstLine="360" w:firstLineChars="200"/>
        <w:rPr>
          <w:rFonts w:hAnsi="宋体"/>
          <w:sz w:val="18"/>
          <w:szCs w:val="18"/>
        </w:rPr>
      </w:pPr>
      <w:r>
        <w:rPr>
          <w:rFonts w:hint="eastAsia" w:hAnsi="宋体"/>
          <w:sz w:val="18"/>
          <w:szCs w:val="18"/>
        </w:rPr>
        <w:t>（4）长期停牌股票，根据停牌原因、停牌时间及停牌公司公告等信息，采用估值技术确定公允价值。</w:t>
      </w:r>
    </w:p>
    <w:p w14:paraId="27FA0FB2">
      <w:pPr>
        <w:pStyle w:val="34"/>
        <w:spacing w:line="360" w:lineRule="auto"/>
        <w:ind w:firstLine="360" w:firstLineChars="200"/>
        <w:rPr>
          <w:rFonts w:hAnsi="宋体"/>
          <w:sz w:val="18"/>
          <w:szCs w:val="18"/>
        </w:rPr>
      </w:pPr>
      <w:r>
        <w:rPr>
          <w:rFonts w:hint="eastAsia" w:hAnsi="宋体"/>
          <w:sz w:val="18"/>
          <w:szCs w:val="18"/>
        </w:rPr>
        <w:t>（5）新发行未上市股票，如果发行日后未发生影响公允价值计量的重大事件的，应采用发行价作为公允价值的最佳估计，已发生影响公允价值计量重大事件的应采用估值技术确定公允价值。</w:t>
      </w:r>
    </w:p>
    <w:p w14:paraId="0EF8A34F">
      <w:pPr>
        <w:pStyle w:val="34"/>
        <w:spacing w:line="360" w:lineRule="auto"/>
        <w:ind w:firstLine="360" w:firstLineChars="200"/>
        <w:rPr>
          <w:rFonts w:hAnsi="宋体"/>
          <w:bCs/>
          <w:sz w:val="18"/>
          <w:szCs w:val="18"/>
        </w:rPr>
      </w:pPr>
      <w:r>
        <w:rPr>
          <w:rFonts w:hAnsi="宋体"/>
          <w:bCs/>
          <w:sz w:val="18"/>
          <w:szCs w:val="18"/>
        </w:rPr>
        <w:t>5.未上市公司股权</w:t>
      </w:r>
    </w:p>
    <w:p w14:paraId="1C9524CA">
      <w:pPr>
        <w:pStyle w:val="34"/>
        <w:spacing w:line="360" w:lineRule="auto"/>
        <w:ind w:firstLine="360" w:firstLineChars="200"/>
        <w:rPr>
          <w:rFonts w:hAnsi="宋体"/>
          <w:sz w:val="18"/>
          <w:szCs w:val="18"/>
        </w:rPr>
      </w:pPr>
      <w:r>
        <w:rPr>
          <w:rFonts w:hint="eastAsia" w:hAnsi="宋体"/>
          <w:sz w:val="18"/>
          <w:szCs w:val="18"/>
        </w:rPr>
        <w:t>以公允价值计量，应综合考虑被评估企业实际情况、市场交易情况及其他可获得的信息，采用市场法、收益法、重置成本法等估值技术，结合流动性折扣等因素评估公允价值</w:t>
      </w:r>
      <w:r>
        <w:rPr>
          <w:rFonts w:hAnsi="宋体"/>
          <w:sz w:val="18"/>
          <w:szCs w:val="18"/>
        </w:rPr>
        <w:t>；或采用第三方估值机构提供的价格数据确认公允价值</w:t>
      </w:r>
      <w:r>
        <w:rPr>
          <w:rFonts w:hint="eastAsia" w:hAnsi="宋体"/>
          <w:sz w:val="18"/>
          <w:szCs w:val="18"/>
        </w:rPr>
        <w:t>。</w:t>
      </w:r>
    </w:p>
    <w:p w14:paraId="5DBEDCFC">
      <w:pPr>
        <w:pStyle w:val="34"/>
        <w:spacing w:line="360" w:lineRule="auto"/>
        <w:ind w:firstLine="360" w:firstLineChars="200"/>
        <w:rPr>
          <w:rFonts w:hAnsi="宋体"/>
          <w:bCs/>
          <w:sz w:val="18"/>
          <w:szCs w:val="18"/>
        </w:rPr>
      </w:pPr>
      <w:r>
        <w:rPr>
          <w:rFonts w:hAnsi="宋体"/>
          <w:bCs/>
          <w:sz w:val="18"/>
          <w:szCs w:val="18"/>
        </w:rPr>
        <w:t>6.优先股</w:t>
      </w:r>
    </w:p>
    <w:p w14:paraId="5399DB26">
      <w:pPr>
        <w:pStyle w:val="34"/>
        <w:spacing w:line="360" w:lineRule="auto"/>
        <w:ind w:firstLine="360" w:firstLineChars="200"/>
        <w:rPr>
          <w:rFonts w:hAnsi="宋体"/>
          <w:sz w:val="18"/>
          <w:szCs w:val="18"/>
        </w:rPr>
      </w:pPr>
      <w:r>
        <w:rPr>
          <w:rFonts w:hint="eastAsia" w:hAnsi="宋体"/>
          <w:sz w:val="18"/>
          <w:szCs w:val="18"/>
        </w:rPr>
        <w:t>优先股交易量及交易频率足以持续提供定价信息的，可按估值日或最近交易日的收盘价估值；不满足上述条件的，可根据优先股股息支付条款，采用估值模型或依据第三方估值机构提供的价格数据估值。</w:t>
      </w:r>
    </w:p>
    <w:p w14:paraId="3BD14BCB">
      <w:pPr>
        <w:pStyle w:val="34"/>
        <w:spacing w:line="360" w:lineRule="auto"/>
        <w:ind w:firstLine="360" w:firstLineChars="200"/>
        <w:rPr>
          <w:rFonts w:hAnsi="宋体"/>
          <w:bCs/>
          <w:sz w:val="18"/>
          <w:szCs w:val="18"/>
        </w:rPr>
      </w:pPr>
      <w:r>
        <w:rPr>
          <w:rFonts w:hAnsi="宋体"/>
          <w:bCs/>
          <w:sz w:val="18"/>
          <w:szCs w:val="18"/>
        </w:rPr>
        <w:t>7.证券投资基金估值</w:t>
      </w:r>
    </w:p>
    <w:p w14:paraId="650CA0C6">
      <w:pPr>
        <w:pStyle w:val="34"/>
        <w:spacing w:line="360" w:lineRule="auto"/>
        <w:ind w:firstLine="360" w:firstLineChars="200"/>
        <w:rPr>
          <w:rFonts w:hAnsi="宋体"/>
          <w:sz w:val="18"/>
          <w:szCs w:val="18"/>
        </w:rPr>
      </w:pPr>
      <w:r>
        <w:rPr>
          <w:rFonts w:hint="eastAsia" w:hAnsi="宋体"/>
          <w:sz w:val="18"/>
          <w:szCs w:val="18"/>
        </w:rPr>
        <w:t>（1）非上市基金估值</w:t>
      </w:r>
    </w:p>
    <w:p w14:paraId="72A3AE9E">
      <w:pPr>
        <w:pStyle w:val="34"/>
        <w:spacing w:line="360" w:lineRule="auto"/>
        <w:ind w:firstLine="360" w:firstLineChars="200"/>
        <w:rPr>
          <w:rFonts w:hAnsi="宋体"/>
          <w:sz w:val="18"/>
          <w:szCs w:val="18"/>
        </w:rPr>
      </w:pPr>
      <w:r>
        <w:rPr>
          <w:rFonts w:hint="eastAsia" w:hAnsi="宋体"/>
          <w:sz w:val="18"/>
          <w:szCs w:val="18"/>
        </w:rPr>
        <w:t>1)本产品投资的境内非货币市场基金，按所投资基金估值日的基金份额净值估值；估值日基金净值未公布的，以基金管理人最近公布的基金份额净值计算。</w:t>
      </w:r>
    </w:p>
    <w:p w14:paraId="1A73118B">
      <w:pPr>
        <w:pStyle w:val="34"/>
        <w:spacing w:line="360" w:lineRule="auto"/>
        <w:ind w:firstLine="360" w:firstLineChars="200"/>
        <w:rPr>
          <w:rFonts w:hAnsi="宋体"/>
          <w:sz w:val="18"/>
          <w:szCs w:val="18"/>
        </w:rPr>
      </w:pPr>
      <w:r>
        <w:rPr>
          <w:rFonts w:hint="eastAsia" w:hAnsi="宋体"/>
          <w:sz w:val="18"/>
          <w:szCs w:val="18"/>
        </w:rPr>
        <w:t>2)本产品投资的境内货币市场基金，按所投资基金前一估值日后至估值日期间（含节假日）的万份收益计提估值日基金收益；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14:paraId="5FCA890A">
      <w:pPr>
        <w:pStyle w:val="34"/>
        <w:spacing w:line="360" w:lineRule="auto"/>
        <w:ind w:firstLine="360" w:firstLineChars="200"/>
        <w:rPr>
          <w:rFonts w:hAnsi="宋体"/>
          <w:sz w:val="18"/>
          <w:szCs w:val="18"/>
        </w:rPr>
      </w:pPr>
      <w:r>
        <w:rPr>
          <w:rFonts w:hint="eastAsia" w:hAnsi="宋体"/>
          <w:sz w:val="18"/>
          <w:szCs w:val="18"/>
        </w:rPr>
        <w:t>（2）上市基金估值</w:t>
      </w:r>
    </w:p>
    <w:p w14:paraId="5429C64B">
      <w:pPr>
        <w:pStyle w:val="34"/>
        <w:spacing w:line="360" w:lineRule="auto"/>
        <w:ind w:firstLine="360" w:firstLineChars="200"/>
        <w:rPr>
          <w:rFonts w:hAnsi="宋体"/>
          <w:sz w:val="18"/>
          <w:szCs w:val="18"/>
        </w:rPr>
      </w:pPr>
      <w:r>
        <w:rPr>
          <w:rFonts w:hint="eastAsia" w:hAnsi="宋体"/>
          <w:sz w:val="18"/>
          <w:szCs w:val="18"/>
        </w:rPr>
        <w:t>1)本产品投资的ETF基金、境内上市定期开放式基金、封闭式基金，按照所投资基金估值日的收盘价估值；估值日无交易的，以最近交易日的收盘价估值。</w:t>
      </w:r>
    </w:p>
    <w:p w14:paraId="5585CA12">
      <w:pPr>
        <w:pStyle w:val="34"/>
        <w:spacing w:line="360" w:lineRule="auto"/>
        <w:ind w:firstLine="360" w:firstLineChars="200"/>
        <w:rPr>
          <w:rFonts w:hAnsi="宋体"/>
          <w:sz w:val="18"/>
          <w:szCs w:val="18"/>
        </w:rPr>
      </w:pPr>
      <w:r>
        <w:rPr>
          <w:rFonts w:hint="eastAsia" w:hAnsi="宋体"/>
          <w:sz w:val="18"/>
          <w:szCs w:val="18"/>
        </w:rPr>
        <w:t>2)本产品投资的境内上市开放式基金（LOF），按所投资基金估值日的基金份额净值估值；估值日基金净值未公布的，以基金管理人最近公布的基金份额净值计算。</w:t>
      </w:r>
    </w:p>
    <w:p w14:paraId="53C4B1E7">
      <w:pPr>
        <w:pStyle w:val="34"/>
        <w:spacing w:line="360" w:lineRule="auto"/>
        <w:ind w:firstLine="360" w:firstLineChars="200"/>
        <w:rPr>
          <w:rFonts w:hAnsi="宋体"/>
          <w:sz w:val="18"/>
          <w:szCs w:val="18"/>
        </w:rPr>
      </w:pPr>
      <w:r>
        <w:rPr>
          <w:rFonts w:hint="eastAsia" w:hAnsi="宋体"/>
          <w:sz w:val="18"/>
          <w:szCs w:val="18"/>
        </w:rPr>
        <w:t>3)本产品投资的境内上市交易型货币市场基金，如所投资基金披露份额净值，则按所投资基金估值日的份额净值估值</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hint="eastAsia" w:hAnsi="宋体"/>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14:paraId="288E6471">
      <w:pPr>
        <w:pStyle w:val="34"/>
        <w:spacing w:line="360" w:lineRule="auto"/>
        <w:ind w:firstLine="360" w:firstLineChars="200"/>
        <w:rPr>
          <w:rFonts w:hAnsi="宋体"/>
          <w:bCs/>
          <w:sz w:val="18"/>
          <w:szCs w:val="18"/>
        </w:rPr>
      </w:pPr>
      <w:r>
        <w:rPr>
          <w:rFonts w:hAnsi="宋体"/>
          <w:bCs/>
          <w:sz w:val="18"/>
          <w:szCs w:val="18"/>
        </w:rPr>
        <w:t>8.其他资产管理产品的估值</w:t>
      </w:r>
    </w:p>
    <w:p w14:paraId="405D0E2F">
      <w:pPr>
        <w:pStyle w:val="34"/>
        <w:spacing w:line="360" w:lineRule="auto"/>
        <w:ind w:firstLine="360" w:firstLineChars="200"/>
        <w:rPr>
          <w:rFonts w:hAnsi="宋体"/>
          <w:sz w:val="18"/>
          <w:szCs w:val="18"/>
        </w:rPr>
      </w:pPr>
      <w:r>
        <w:rPr>
          <w:rFonts w:hint="eastAsia" w:hAnsi="宋体"/>
          <w:sz w:val="18"/>
          <w:szCs w:val="18"/>
        </w:rPr>
        <w:t>其他资产管理产品，指理财产品投资的除证券投资基金以外的其他资产管理产品，主要包括：信托公司、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14:paraId="5FE58EB9">
      <w:pPr>
        <w:pStyle w:val="34"/>
        <w:spacing w:line="360" w:lineRule="auto"/>
        <w:ind w:firstLine="360" w:firstLineChars="200"/>
        <w:rPr>
          <w:rFonts w:hAnsi="宋体"/>
          <w:bCs/>
          <w:sz w:val="18"/>
          <w:szCs w:val="18"/>
        </w:rPr>
      </w:pPr>
      <w:r>
        <w:rPr>
          <w:rFonts w:hAnsi="宋体"/>
          <w:bCs/>
          <w:sz w:val="18"/>
          <w:szCs w:val="18"/>
        </w:rPr>
        <w:t>9.衍生金融工具估值</w:t>
      </w:r>
    </w:p>
    <w:p w14:paraId="1DF0E8C9">
      <w:pPr>
        <w:pStyle w:val="34"/>
        <w:spacing w:line="360" w:lineRule="auto"/>
        <w:ind w:firstLine="360" w:firstLineChars="200"/>
        <w:rPr>
          <w:rFonts w:asciiTheme="minorEastAsia" w:hAnsiTheme="minorEastAsia" w:eastAsiaTheme="minorEastAsia"/>
          <w:bCs/>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1</w:t>
      </w:r>
      <w:r>
        <w:rPr>
          <w:rFonts w:hint="eastAsia" w:asciiTheme="minorEastAsia" w:hAnsiTheme="minorEastAsia" w:eastAsiaTheme="minorEastAsia"/>
          <w:bCs/>
          <w:sz w:val="18"/>
          <w:szCs w:val="18"/>
        </w:rPr>
        <w:t>）对于交易所交易的衍生金融工具，一般以估值日交易所公布的当日结算价估值；估值日无交易且最近交易日后未发生影响公允价值计量的重大事件的，按最近交易日的结算价估值；如最近交易日后发生影响公允价值计量的重大事件的，应采取估值技术确定公允价值。</w:t>
      </w:r>
    </w:p>
    <w:p w14:paraId="5BFB1045">
      <w:pPr>
        <w:pStyle w:val="34"/>
        <w:spacing w:line="360" w:lineRule="auto"/>
        <w:ind w:firstLine="360" w:firstLineChars="200"/>
        <w:rPr>
          <w:rFonts w:hAnsi="宋体"/>
          <w:sz w:val="18"/>
          <w:szCs w:val="18"/>
        </w:rPr>
      </w:pPr>
      <w:r>
        <w:rPr>
          <w:rFonts w:hint="eastAsia" w:asciiTheme="minorEastAsia" w:hAnsiTheme="minorEastAsia" w:eastAsiaTheme="minorEastAsia"/>
          <w:bCs/>
          <w:sz w:val="18"/>
          <w:szCs w:val="18"/>
        </w:rPr>
        <w:t>（</w:t>
      </w:r>
      <w:r>
        <w:rPr>
          <w:rFonts w:asciiTheme="minorEastAsia" w:hAnsiTheme="minorEastAsia" w:eastAsiaTheme="minorEastAsia"/>
          <w:bCs/>
          <w:sz w:val="18"/>
          <w:szCs w:val="18"/>
        </w:rPr>
        <w:t>2</w:t>
      </w:r>
      <w:r>
        <w:rPr>
          <w:rFonts w:hint="eastAsia" w:asciiTheme="minorEastAsia" w:hAnsiTheme="minorEastAsia" w:eastAsiaTheme="minorEastAsia"/>
          <w:bCs/>
          <w:sz w:val="18"/>
          <w:szCs w:val="18"/>
        </w:rPr>
        <w:t>）对于非交易所交易的衍生金融工具，可依据第三方机构提供的价格数据或采取相应衍生金融工具估值模型确定公允价值。</w:t>
      </w:r>
    </w:p>
    <w:p w14:paraId="432F2046">
      <w:pPr>
        <w:pStyle w:val="34"/>
        <w:spacing w:line="360" w:lineRule="auto"/>
        <w:ind w:firstLine="360" w:firstLineChars="200"/>
        <w:rPr>
          <w:rFonts w:hAnsi="宋体"/>
          <w:bCs/>
          <w:sz w:val="18"/>
          <w:szCs w:val="18"/>
        </w:rPr>
      </w:pPr>
      <w:r>
        <w:rPr>
          <w:rFonts w:hAnsi="宋体"/>
          <w:bCs/>
          <w:sz w:val="18"/>
          <w:szCs w:val="18"/>
        </w:rPr>
        <w:t>10.存款、拆借、回购等货币市场工具的估值</w:t>
      </w:r>
    </w:p>
    <w:p w14:paraId="65DC554E">
      <w:pPr>
        <w:pStyle w:val="34"/>
        <w:spacing w:line="360" w:lineRule="auto"/>
        <w:ind w:firstLine="360" w:firstLineChars="200"/>
        <w:rPr>
          <w:rFonts w:hAnsi="宋体"/>
          <w:sz w:val="18"/>
          <w:szCs w:val="18"/>
        </w:rPr>
      </w:pPr>
      <w:r>
        <w:rPr>
          <w:rFonts w:hint="eastAsia" w:hAnsi="宋体"/>
          <w:sz w:val="18"/>
          <w:szCs w:val="18"/>
        </w:rPr>
        <w:t>以本金列示，按商定利率在实际持有期间内逐日计提利息。如有估值技术能更准确反映其公允价值的，采用估值技术进行估值。</w:t>
      </w:r>
    </w:p>
    <w:p w14:paraId="29924096">
      <w:pPr>
        <w:pStyle w:val="34"/>
        <w:spacing w:line="360" w:lineRule="auto"/>
        <w:ind w:firstLine="360" w:firstLineChars="200"/>
        <w:rPr>
          <w:rFonts w:hAnsi="宋体"/>
          <w:sz w:val="18"/>
          <w:szCs w:val="18"/>
        </w:rPr>
      </w:pPr>
      <w:r>
        <w:rPr>
          <w:rFonts w:hint="eastAsia" w:hAnsi="宋体"/>
          <w:sz w:val="18"/>
          <w:szCs w:val="18"/>
        </w:rPr>
        <w:t>1</w:t>
      </w:r>
      <w:r>
        <w:rPr>
          <w:rFonts w:hAnsi="宋体"/>
          <w:sz w:val="18"/>
          <w:szCs w:val="18"/>
        </w:rPr>
        <w:t>1</w:t>
      </w:r>
      <w:r>
        <w:rPr>
          <w:rFonts w:hint="eastAsia" w:hAnsi="宋体"/>
          <w:sz w:val="18"/>
          <w:szCs w:val="18"/>
        </w:rPr>
        <w:t>.如有确凿证据表明按上述方法进行估值不能客观反映其公允价值的，产品管理人可根据具体情况与产品托管人商定后，在综合考虑市场成交、市场报价、流动性、收益率曲线等因素基础上，按最能反映公允价值的价格估值。</w:t>
      </w:r>
    </w:p>
    <w:p w14:paraId="1EB7EC24">
      <w:pPr>
        <w:pStyle w:val="34"/>
        <w:spacing w:line="360" w:lineRule="auto"/>
        <w:ind w:firstLine="360" w:firstLineChars="200"/>
        <w:rPr>
          <w:rFonts w:ascii="黑体" w:hAnsi="黑体" w:eastAsia="黑体"/>
          <w:sz w:val="18"/>
          <w:szCs w:val="18"/>
        </w:rPr>
      </w:pPr>
      <w:r>
        <w:rPr>
          <w:rFonts w:ascii="黑体" w:hAnsi="黑体" w:eastAsia="黑体"/>
          <w:sz w:val="18"/>
          <w:szCs w:val="18"/>
        </w:rPr>
        <w:t>12.★估值方法的调整</w:t>
      </w:r>
    </w:p>
    <w:p w14:paraId="3DDE0FED">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若因相关法律法规以及监管部门有规定，需要调整估值方法的，管理人应按相关规定要求使用调整后的估值方法进行估值。</w:t>
      </w:r>
    </w:p>
    <w:p w14:paraId="4468B9C6">
      <w:pPr>
        <w:pStyle w:val="34"/>
        <w:spacing w:line="360" w:lineRule="auto"/>
        <w:ind w:firstLine="361" w:firstLineChars="200"/>
        <w:rPr>
          <w:rFonts w:hAnsi="宋体"/>
          <w:b/>
          <w:bCs/>
          <w:sz w:val="18"/>
          <w:szCs w:val="18"/>
        </w:rPr>
      </w:pPr>
      <w:r>
        <w:rPr>
          <w:rFonts w:hint="eastAsia" w:hAnsi="宋体"/>
          <w:b/>
          <w:bCs/>
          <w:sz w:val="18"/>
          <w:szCs w:val="18"/>
        </w:rPr>
        <w:t>（五）估值程序</w:t>
      </w:r>
    </w:p>
    <w:p w14:paraId="54C78383">
      <w:pPr>
        <w:pStyle w:val="34"/>
        <w:spacing w:line="360" w:lineRule="auto"/>
        <w:ind w:firstLine="360" w:firstLineChars="200"/>
        <w:rPr>
          <w:rFonts w:hAnsi="宋体"/>
          <w:sz w:val="18"/>
          <w:szCs w:val="18"/>
        </w:rPr>
      </w:pPr>
      <w:r>
        <w:rPr>
          <w:rFonts w:hint="eastAsia" w:hAnsi="宋体"/>
          <w:sz w:val="18"/>
          <w:szCs w:val="18"/>
        </w:rPr>
        <w:t>1.产品份额净值是按照估值日产品资产净值除以当日产品总份额计算。国家另有规定的，从其规定。</w:t>
      </w:r>
    </w:p>
    <w:p w14:paraId="0085C40F">
      <w:pPr>
        <w:pStyle w:val="34"/>
        <w:spacing w:line="360" w:lineRule="auto"/>
        <w:ind w:firstLine="360" w:firstLineChars="200"/>
        <w:rPr>
          <w:rFonts w:hAnsi="宋体"/>
          <w:sz w:val="18"/>
          <w:szCs w:val="18"/>
        </w:rPr>
      </w:pPr>
      <w:r>
        <w:rPr>
          <w:rFonts w:hint="eastAsia" w:hAnsi="宋体"/>
          <w:sz w:val="18"/>
          <w:szCs w:val="18"/>
        </w:rPr>
        <w:t xml:space="preserve">2.产品管理人对理财资产估值后，将产品份额净值发送产品托管人，经产品托管人复核无误后，由产品管理人按规定对外公布。 </w:t>
      </w:r>
    </w:p>
    <w:p w14:paraId="6EE29BE9">
      <w:pPr>
        <w:pStyle w:val="34"/>
        <w:spacing w:line="360" w:lineRule="auto"/>
        <w:ind w:firstLine="360" w:firstLineChars="200"/>
        <w:rPr>
          <w:rFonts w:hAnsi="宋体"/>
          <w:sz w:val="18"/>
          <w:szCs w:val="18"/>
        </w:rPr>
      </w:pPr>
      <w:r>
        <w:rPr>
          <w:rFonts w:hint="eastAsia" w:hAnsi="宋体"/>
          <w:sz w:val="18"/>
          <w:szCs w:val="18"/>
        </w:rPr>
        <w:t xml:space="preserve">3.如产品管理人或产品托管人发现理财估值违反本说明书约定的估值方法、程序及相关法律法规的规定或者未能充分维护理财份额持有人权益时，应立即通知对方，共同查明原因，双方协商解决。 </w:t>
      </w:r>
    </w:p>
    <w:p w14:paraId="20AA910F">
      <w:pPr>
        <w:pStyle w:val="34"/>
        <w:spacing w:line="360" w:lineRule="auto"/>
        <w:ind w:firstLine="361" w:firstLineChars="200"/>
        <w:rPr>
          <w:rFonts w:hAnsi="宋体"/>
          <w:b/>
          <w:bCs/>
          <w:sz w:val="18"/>
          <w:szCs w:val="18"/>
        </w:rPr>
      </w:pPr>
      <w:r>
        <w:rPr>
          <w:rFonts w:hint="eastAsia" w:hAnsi="宋体"/>
          <w:b/>
          <w:bCs/>
          <w:sz w:val="18"/>
          <w:szCs w:val="18"/>
        </w:rPr>
        <w:t>（六）估值主体</w:t>
      </w:r>
    </w:p>
    <w:p w14:paraId="1A77ED04">
      <w:pPr>
        <w:pStyle w:val="34"/>
        <w:spacing w:line="360" w:lineRule="auto"/>
        <w:ind w:firstLine="360" w:firstLineChars="200"/>
        <w:rPr>
          <w:rFonts w:hAnsi="宋体"/>
          <w:sz w:val="18"/>
          <w:szCs w:val="18"/>
        </w:rPr>
      </w:pPr>
      <w:r>
        <w:rPr>
          <w:rFonts w:hint="eastAsia" w:hAnsi="宋体"/>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14:paraId="1370134A">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14:paraId="673B97E8">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14:paraId="2EDE895A">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14:paraId="3ED3A138">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14:paraId="496B4A82">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14:paraId="02BF332C">
      <w:pPr>
        <w:pStyle w:val="34"/>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14:paraId="3944BAAA">
      <w:pPr>
        <w:widowControl/>
        <w:spacing w:line="360" w:lineRule="auto"/>
        <w:jc w:val="left"/>
        <w:rPr>
          <w:rFonts w:ascii="宋体" w:hAnsi="宋体"/>
          <w:kern w:val="0"/>
          <w:sz w:val="18"/>
          <w:szCs w:val="18"/>
        </w:rPr>
      </w:pPr>
      <w:r>
        <w:rPr>
          <w:rFonts w:hAnsi="宋体"/>
          <w:sz w:val="18"/>
          <w:szCs w:val="18"/>
        </w:rPr>
        <w:br w:type="page"/>
      </w:r>
    </w:p>
    <w:p w14:paraId="25AE6584">
      <w:pPr>
        <w:pStyle w:val="2"/>
        <w:spacing w:before="0" w:after="0" w:line="360" w:lineRule="auto"/>
        <w:ind w:left="60" w:firstLine="10"/>
        <w:jc w:val="center"/>
        <w:rPr>
          <w:rFonts w:ascii="Times New Roman"/>
          <w:sz w:val="30"/>
        </w:rPr>
      </w:pPr>
      <w:bookmarkStart w:id="64" w:name="_Hlt70481650"/>
      <w:bookmarkEnd w:id="64"/>
      <w:bookmarkStart w:id="65" w:name="_Toc79154671"/>
      <w:bookmarkStart w:id="66" w:name="_Toc98560353"/>
      <w:bookmarkStart w:id="67" w:name="_Toc31235"/>
      <w:bookmarkStart w:id="68" w:name="_Toc176189760"/>
      <w:bookmarkStart w:id="69" w:name="_Toc123051453"/>
      <w:bookmarkStart w:id="70" w:name="_Toc139991737"/>
      <w:bookmarkStart w:id="71" w:name="_Toc31653"/>
      <w:bookmarkStart w:id="72" w:name="_Toc12245"/>
      <w:bookmarkStart w:id="73" w:name="_Toc14835"/>
      <w:bookmarkStart w:id="74" w:name="_Toc6405"/>
      <w:bookmarkStart w:id="75" w:name="_Toc3601"/>
      <w:bookmarkStart w:id="76" w:name="_Toc31644"/>
      <w:bookmarkStart w:id="77" w:name="_Toc26207"/>
      <w:bookmarkStart w:id="78" w:name="_Toc29251"/>
      <w:bookmarkStart w:id="79" w:name="_Toc141703887"/>
      <w:bookmarkStart w:id="80" w:name="_Toc123102454"/>
      <w:bookmarkStart w:id="81" w:name="_Toc123112235"/>
      <w:bookmarkStart w:id="82" w:name="_Toc74065744"/>
      <w:bookmarkStart w:id="83" w:name="_Toc15143"/>
      <w:r>
        <w:rPr>
          <w:rFonts w:ascii="Times New Roman"/>
          <w:sz w:val="30"/>
        </w:rPr>
        <w:t>第八</w:t>
      </w:r>
      <w:r>
        <w:rPr>
          <w:rFonts w:hint="eastAsia" w:ascii="Times New Roman"/>
          <w:sz w:val="30"/>
        </w:rPr>
        <w:t>条</w:t>
      </w:r>
      <w:r>
        <w:rPr>
          <w:rFonts w:ascii="Times New Roman"/>
          <w:sz w:val="30"/>
        </w:rPr>
        <w:t xml:space="preserve">  </w:t>
      </w:r>
      <w:r>
        <w:rPr>
          <w:rFonts w:hint="eastAsia" w:ascii="Times New Roman"/>
          <w:sz w:val="30"/>
        </w:rPr>
        <w:t>理财产品的利益分配</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Start w:id="84" w:name="_Hlt55355235"/>
      <w:bookmarkEnd w:id="84"/>
      <w:bookmarkStart w:id="85" w:name="_Toc79392580"/>
      <w:bookmarkStart w:id="86" w:name="_Toc57530239"/>
      <w:bookmarkStart w:id="87" w:name="_Toc523711668"/>
      <w:bookmarkStart w:id="88" w:name="_Toc15118234"/>
    </w:p>
    <w:p w14:paraId="43FFAFFD">
      <w:pPr>
        <w:pStyle w:val="34"/>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14:paraId="55986541">
      <w:pPr>
        <w:pStyle w:val="34"/>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14:paraId="37B925F5">
      <w:pPr>
        <w:pStyle w:val="34"/>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14:paraId="774522CA">
      <w:pPr>
        <w:pStyle w:val="34"/>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14:paraId="4779EC19">
      <w:pPr>
        <w:pStyle w:val="34"/>
        <w:spacing w:line="360" w:lineRule="auto"/>
        <w:ind w:firstLine="360" w:firstLineChars="200"/>
        <w:rPr>
          <w:rFonts w:hAnsi="宋体"/>
          <w:color w:val="auto"/>
          <w:sz w:val="18"/>
          <w:szCs w:val="18"/>
        </w:rPr>
      </w:pPr>
      <w:r>
        <w:rPr>
          <w:rFonts w:hint="eastAsia" w:hAnsi="宋体"/>
          <w:color w:val="auto"/>
          <w:sz w:val="18"/>
          <w:szCs w:val="18"/>
        </w:rPr>
        <w:t xml:space="preserve">1.本产品利益分配应遵循下列原则： </w:t>
      </w:r>
    </w:p>
    <w:p w14:paraId="0302ADA1">
      <w:pPr>
        <w:pStyle w:val="34"/>
        <w:spacing w:line="360" w:lineRule="auto"/>
        <w:ind w:firstLine="360" w:firstLineChars="200"/>
        <w:rPr>
          <w:rFonts w:hAnsi="宋体"/>
          <w:color w:val="auto"/>
          <w:sz w:val="18"/>
          <w:szCs w:val="18"/>
        </w:rPr>
      </w:pPr>
      <w:r>
        <w:rPr>
          <w:rFonts w:hAnsi="宋体"/>
          <w:color w:val="auto"/>
          <w:sz w:val="18"/>
          <w:szCs w:val="18"/>
        </w:rPr>
        <w:t>每一</w:t>
      </w:r>
      <w:r>
        <w:rPr>
          <w:rFonts w:hint="eastAsia" w:hAnsi="宋体"/>
          <w:color w:val="auto"/>
          <w:sz w:val="18"/>
          <w:szCs w:val="18"/>
        </w:rPr>
        <w:t>产品</w:t>
      </w:r>
      <w:r>
        <w:rPr>
          <w:rFonts w:hAnsi="宋体"/>
          <w:color w:val="auto"/>
          <w:sz w:val="18"/>
          <w:szCs w:val="18"/>
        </w:rPr>
        <w:t>份额享有同等分配权</w:t>
      </w:r>
      <w:r>
        <w:rPr>
          <w:rFonts w:hint="eastAsia" w:hAnsi="宋体"/>
          <w:color w:val="auto"/>
          <w:sz w:val="18"/>
          <w:szCs w:val="18"/>
        </w:rPr>
        <w:t>。</w:t>
      </w:r>
    </w:p>
    <w:p w14:paraId="20C26F1D">
      <w:pPr>
        <w:pStyle w:val="34"/>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w:t>
      </w:r>
      <w:r>
        <w:rPr>
          <w:rFonts w:hAnsi="宋体"/>
          <w:color w:val="auto"/>
          <w:sz w:val="18"/>
          <w:szCs w:val="18"/>
        </w:rPr>
        <w:t>利益的分配原则和支付方式</w:t>
      </w:r>
      <w:r>
        <w:rPr>
          <w:rFonts w:hint="eastAsia" w:hAnsi="宋体"/>
          <w:color w:val="auto"/>
          <w:sz w:val="18"/>
          <w:szCs w:val="18"/>
        </w:rPr>
        <w:t>。法律法规或监管机构另有规定的从其规定。</w:t>
      </w:r>
    </w:p>
    <w:p w14:paraId="5F9BE015">
      <w:pPr>
        <w:pStyle w:val="34"/>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14:paraId="720801DC">
      <w:pPr>
        <w:pStyle w:val="34"/>
        <w:spacing w:line="360" w:lineRule="auto"/>
        <w:ind w:firstLine="360" w:firstLineChars="200"/>
        <w:rPr>
          <w:rFonts w:hAnsi="宋体"/>
          <w:bCs/>
          <w:color w:val="auto"/>
          <w:sz w:val="18"/>
          <w:szCs w:val="18"/>
        </w:rPr>
      </w:pPr>
      <w:permStart w:id="21" w:edGrp="everyone"/>
      <w:r>
        <w:rPr>
          <w:rFonts w:hAnsi="宋体"/>
          <w:bCs/>
          <w:color w:val="auto"/>
          <w:sz w:val="18"/>
          <w:szCs w:val="18"/>
        </w:rPr>
        <w:t>1.分配方案要点：</w:t>
      </w:r>
    </w:p>
    <w:p w14:paraId="3BE4EDD7">
      <w:pPr>
        <w:pStyle w:val="34"/>
        <w:spacing w:line="360" w:lineRule="auto"/>
        <w:ind w:firstLine="360" w:firstLineChars="200"/>
        <w:rPr>
          <w:rFonts w:hAnsi="宋体"/>
          <w:color w:val="auto"/>
          <w:sz w:val="18"/>
          <w:szCs w:val="18"/>
        </w:rPr>
      </w:pPr>
      <w:r>
        <w:rPr>
          <w:rFonts w:hint="eastAsia" w:hAnsi="宋体"/>
          <w:color w:val="auto"/>
          <w:sz w:val="18"/>
          <w:szCs w:val="18"/>
        </w:rPr>
        <w:t>（1）本产品的分配时点包括“期间分配”和“终止分配”。</w:t>
      </w:r>
    </w:p>
    <w:p w14:paraId="62B0D32F">
      <w:pPr>
        <w:pStyle w:val="34"/>
        <w:spacing w:line="360" w:lineRule="auto"/>
        <w:ind w:firstLine="360" w:firstLineChars="200"/>
        <w:rPr>
          <w:rFonts w:hAnsi="宋体"/>
          <w:color w:val="auto"/>
          <w:sz w:val="18"/>
          <w:szCs w:val="18"/>
        </w:rPr>
      </w:pPr>
      <w:r>
        <w:rPr>
          <w:rFonts w:hint="eastAsia" w:hAnsi="宋体"/>
          <w:color w:val="auto"/>
          <w:sz w:val="18"/>
          <w:szCs w:val="18"/>
        </w:rPr>
        <w:t>（2）本产品的分配方式仅采取“现金分配”。</w:t>
      </w:r>
    </w:p>
    <w:p w14:paraId="7B4BA68C">
      <w:pPr>
        <w:pStyle w:val="34"/>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14:paraId="5430A481">
      <w:pPr>
        <w:pStyle w:val="34"/>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ermEnd w:id="21"/>
    <w:p w14:paraId="77ECF93A">
      <w:pPr>
        <w:spacing w:line="360" w:lineRule="auto"/>
        <w:ind w:firstLine="360"/>
        <w:rPr>
          <w:rFonts w:ascii="宋体" w:hAnsi="宋体"/>
          <w:b/>
          <w:sz w:val="18"/>
          <w:szCs w:val="18"/>
        </w:rPr>
      </w:pPr>
      <w:r>
        <w:rPr>
          <w:rFonts w:hint="eastAsia" w:ascii="宋体" w:hAnsi="宋体"/>
          <w:b/>
          <w:kern w:val="0"/>
          <w:sz w:val="18"/>
          <w:szCs w:val="18"/>
        </w:rPr>
        <w:t>（四）理财利益的分配</w:t>
      </w:r>
    </w:p>
    <w:p w14:paraId="24E54BB5">
      <w:pPr>
        <w:pStyle w:val="34"/>
        <w:spacing w:line="360" w:lineRule="auto"/>
        <w:ind w:firstLine="360" w:firstLineChars="200"/>
        <w:rPr>
          <w:rFonts w:hAnsi="宋体"/>
          <w:color w:val="auto"/>
          <w:sz w:val="18"/>
          <w:szCs w:val="18"/>
        </w:rPr>
      </w:pPr>
      <w:permStart w:id="22" w:edGrp="everyone"/>
      <w:r>
        <w:rPr>
          <w:rFonts w:hint="eastAsia" w:hAnsi="宋体"/>
          <w:color w:val="auto"/>
          <w:sz w:val="18"/>
          <w:szCs w:val="18"/>
        </w:rPr>
        <w:t>1.理财利益的分配日</w:t>
      </w:r>
    </w:p>
    <w:p w14:paraId="32DA98DE">
      <w:pPr>
        <w:pStyle w:val="34"/>
        <w:spacing w:line="360" w:lineRule="auto"/>
        <w:ind w:firstLine="360" w:firstLineChars="200"/>
        <w:rPr>
          <w:rFonts w:hAnsi="宋体"/>
          <w:color w:val="auto"/>
          <w:sz w:val="18"/>
          <w:szCs w:val="18"/>
        </w:rPr>
      </w:pPr>
      <w:r>
        <w:rPr>
          <w:rFonts w:hint="eastAsia" w:hAnsi="宋体"/>
          <w:color w:val="auto"/>
          <w:sz w:val="18"/>
          <w:szCs w:val="18"/>
        </w:rPr>
        <w:t>（1）若为期间分配的，原则上产品管理人应于分配基准日后【5】个工作日内分配理财利益（如有）。</w:t>
      </w:r>
    </w:p>
    <w:p w14:paraId="4059C301">
      <w:pPr>
        <w:pStyle w:val="34"/>
        <w:spacing w:line="360" w:lineRule="auto"/>
        <w:ind w:firstLine="360" w:firstLineChars="200"/>
        <w:rPr>
          <w:rFonts w:hAnsi="宋体"/>
          <w:color w:val="auto"/>
          <w:sz w:val="18"/>
          <w:szCs w:val="18"/>
        </w:rPr>
      </w:pPr>
      <w:r>
        <w:rPr>
          <w:rFonts w:hint="eastAsia" w:hAnsi="宋体"/>
          <w:color w:val="auto"/>
          <w:sz w:val="18"/>
          <w:szCs w:val="18"/>
        </w:rPr>
        <w:t>（2）若为终止分配的，产品管理人应按“第十条 理财产品的终止与清算”中产品清算期的相关约定向投资者分配理财利益（如有）。</w:t>
      </w:r>
    </w:p>
    <w:p w14:paraId="1242ECA2">
      <w:pPr>
        <w:pStyle w:val="34"/>
        <w:spacing w:line="360" w:lineRule="auto"/>
        <w:ind w:firstLine="360" w:firstLineChars="200"/>
        <w:rPr>
          <w:rFonts w:hAnsi="宋体"/>
          <w:color w:val="auto"/>
          <w:sz w:val="18"/>
          <w:szCs w:val="18"/>
        </w:rPr>
      </w:pPr>
      <w:r>
        <w:rPr>
          <w:rFonts w:hAnsi="宋体"/>
          <w:color w:val="auto"/>
          <w:sz w:val="18"/>
          <w:szCs w:val="18"/>
        </w:rPr>
        <w:t>2.</w:t>
      </w:r>
      <w:r>
        <w:rPr>
          <w:rFonts w:hint="eastAsia" w:hAnsi="宋体"/>
          <w:color w:val="auto"/>
          <w:sz w:val="18"/>
          <w:szCs w:val="18"/>
        </w:rPr>
        <w:t>具体的理财利益分配以管理人实际分配的为准。</w:t>
      </w:r>
    </w:p>
    <w:permEnd w:id="22"/>
    <w:p w14:paraId="2FA9840F">
      <w:pPr>
        <w:widowControl/>
        <w:spacing w:line="360" w:lineRule="auto"/>
        <w:jc w:val="left"/>
        <w:rPr>
          <w:rFonts w:ascii="宋体" w:hAnsi="宋体"/>
          <w:kern w:val="0"/>
          <w:sz w:val="18"/>
          <w:szCs w:val="18"/>
        </w:rPr>
      </w:pPr>
      <w:r>
        <w:rPr>
          <w:rFonts w:hAnsi="宋体"/>
          <w:sz w:val="18"/>
          <w:szCs w:val="18"/>
        </w:rPr>
        <w:br w:type="page"/>
      </w:r>
    </w:p>
    <w:bookmarkEnd w:id="85"/>
    <w:bookmarkEnd w:id="86"/>
    <w:bookmarkEnd w:id="87"/>
    <w:bookmarkEnd w:id="88"/>
    <w:p w14:paraId="1DE2571E">
      <w:pPr>
        <w:pStyle w:val="2"/>
        <w:spacing w:before="0" w:after="0" w:line="360" w:lineRule="auto"/>
        <w:jc w:val="center"/>
        <w:rPr>
          <w:rFonts w:ascii="Times New Roman"/>
          <w:sz w:val="30"/>
        </w:rPr>
      </w:pPr>
      <w:bookmarkStart w:id="89" w:name="_Hlt88897298"/>
      <w:bookmarkEnd w:id="89"/>
      <w:bookmarkStart w:id="90" w:name="_Hlt88825574"/>
      <w:bookmarkEnd w:id="90"/>
      <w:bookmarkStart w:id="91" w:name="_Toc123112236"/>
      <w:bookmarkStart w:id="92" w:name="_Toc3321"/>
      <w:bookmarkStart w:id="93" w:name="_Toc18567"/>
      <w:bookmarkStart w:id="94" w:name="_Toc6447"/>
      <w:bookmarkStart w:id="95" w:name="_Toc139991738"/>
      <w:bookmarkStart w:id="96" w:name="_Toc7058"/>
      <w:bookmarkStart w:id="97" w:name="_Toc98560354"/>
      <w:bookmarkStart w:id="98" w:name="_Toc141703888"/>
      <w:bookmarkStart w:id="99" w:name="_Toc9706"/>
      <w:bookmarkStart w:id="100" w:name="_Toc123051454"/>
      <w:bookmarkStart w:id="101" w:name="_Toc4559"/>
      <w:bookmarkStart w:id="102" w:name="_Toc123102455"/>
      <w:bookmarkStart w:id="103" w:name="_Toc10650"/>
      <w:bookmarkStart w:id="104" w:name="_Toc176189761"/>
      <w:bookmarkStart w:id="105" w:name="_Toc79154672"/>
      <w:bookmarkStart w:id="106" w:name="_Toc79392583"/>
      <w:bookmarkStart w:id="107" w:name="_Toc3771"/>
      <w:bookmarkStart w:id="108" w:name="_Toc25783"/>
      <w:bookmarkStart w:id="109" w:name="_Toc74065745"/>
      <w:bookmarkStart w:id="110" w:name="_Toc11030"/>
      <w:r>
        <w:rPr>
          <w:rFonts w:ascii="Times New Roman"/>
          <w:sz w:val="30"/>
        </w:rPr>
        <w:t>第九</w:t>
      </w:r>
      <w:r>
        <w:rPr>
          <w:rFonts w:hint="eastAsia" w:ascii="Times New Roman"/>
          <w:sz w:val="30"/>
        </w:rPr>
        <w:t>条</w:t>
      </w:r>
      <w:r>
        <w:rPr>
          <w:rFonts w:ascii="Times New Roman"/>
          <w:sz w:val="30"/>
        </w:rPr>
        <w:t xml:space="preserve">  </w:t>
      </w:r>
      <w:r>
        <w:rPr>
          <w:rFonts w:hint="eastAsia" w:ascii="Times New Roman"/>
          <w:sz w:val="30"/>
        </w:rPr>
        <w:t>理财产品的费用与税收</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067258F1">
      <w:pPr>
        <w:pStyle w:val="34"/>
        <w:spacing w:line="360" w:lineRule="auto"/>
        <w:ind w:firstLine="361" w:firstLineChars="200"/>
        <w:rPr>
          <w:rFonts w:hint="eastAsia" w:ascii="黑体" w:hAnsi="黑体" w:eastAsia="黑体" w:cs="黑体"/>
          <w:b/>
          <w:color w:val="auto"/>
          <w:sz w:val="18"/>
          <w:szCs w:val="18"/>
        </w:rPr>
      </w:pPr>
      <w:r>
        <w:rPr>
          <w:rFonts w:hint="eastAsia" w:ascii="黑体" w:hAnsi="黑体" w:eastAsia="黑体" w:cs="黑体"/>
          <w:b/>
          <w:color w:val="auto"/>
          <w:sz w:val="18"/>
          <w:szCs w:val="18"/>
        </w:rPr>
        <w:t>（一）理财产品的费用</w:t>
      </w:r>
    </w:p>
    <w:p w14:paraId="1F6921D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1.理财产品费用的种类</w:t>
      </w:r>
    </w:p>
    <w:p w14:paraId="6A77A27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5F13A00C">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（2）理财产品的销售服务费；</w:t>
      </w:r>
    </w:p>
    <w:p w14:paraId="0C2545A3">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（3）理财产品的投资管理费及超额业绩报酬；</w:t>
      </w:r>
    </w:p>
    <w:p w14:paraId="1C4F852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（4）理财产品的产品托管费；</w:t>
      </w:r>
    </w:p>
    <w:p w14:paraId="733D2ED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（5）理财产品的交易费用（包括但不限于证券交易费用、经纪费用等）；</w:t>
      </w:r>
    </w:p>
    <w:p w14:paraId="019632B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（6）理财产品验资费、审计费、律师费、信息披露费、清算费、执行费用等相关费用；</w:t>
      </w:r>
    </w:p>
    <w:p w14:paraId="3BD25E62">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（7）按照国家法律法规规定可以列入的其他费用。</w:t>
      </w:r>
    </w:p>
    <w:p w14:paraId="01F3EBA9">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2.理财产品费用计提方法、计提标准和支付方式</w:t>
      </w:r>
    </w:p>
    <w:p w14:paraId="6A177FC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（1）理财产品的认购费</w:t>
      </w:r>
    </w:p>
    <w:p w14:paraId="47F72B78">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bCs/>
          <w:sz w:val="18"/>
          <w:szCs w:val="18"/>
        </w:rPr>
        <w:t>费率具体数值以</w:t>
      </w:r>
      <w:r>
        <w:rPr>
          <w:rFonts w:hint="eastAsia" w:ascii="黑体" w:hAnsi="黑体" w:eastAsia="黑体" w:cs="黑体"/>
          <w:sz w:val="18"/>
          <w:szCs w:val="18"/>
        </w:rPr>
        <w:t>《产品说明书》“第二条 理财产品基本情况”</w:t>
      </w:r>
      <w:r>
        <w:rPr>
          <w:rFonts w:hint="eastAsia" w:ascii="黑体" w:hAnsi="黑体" w:eastAsia="黑体" w:cs="黑体"/>
          <w:bCs/>
          <w:sz w:val="18"/>
          <w:szCs w:val="18"/>
        </w:rPr>
        <w:t>为准</w:t>
      </w:r>
      <w:r>
        <w:rPr>
          <w:rFonts w:hint="eastAsia" w:ascii="黑体" w:hAnsi="黑体" w:eastAsia="黑体" w:cs="黑体"/>
          <w:kern w:val="0"/>
          <w:sz w:val="18"/>
          <w:szCs w:val="18"/>
        </w:rPr>
        <w:t>。</w:t>
      </w:r>
    </w:p>
    <w:p w14:paraId="3E5B38AE">
      <w:pPr>
        <w:widowControl/>
        <w:spacing w:line="360" w:lineRule="auto"/>
        <w:ind w:firstLine="360" w:firstLineChars="200"/>
        <w:jc w:val="left"/>
        <w:rPr>
          <w:rFonts w:hint="eastAsia" w:ascii="黑体" w:hAnsi="黑体" w:eastAsia="黑体" w:cs="黑体"/>
          <w:sz w:val="18"/>
          <w:szCs w:val="18"/>
        </w:rPr>
      </w:pPr>
      <w:permStart w:id="23" w:edGrp="everyone"/>
      <w:r>
        <w:rPr>
          <w:rFonts w:hint="eastAsia" w:ascii="黑体" w:hAnsi="黑体" w:eastAsia="黑体" w:cs="黑体"/>
          <w:kern w:val="0"/>
          <w:sz w:val="18"/>
          <w:szCs w:val="18"/>
        </w:rPr>
        <w:t>（2）理财产品的销售服务费</w:t>
      </w:r>
    </w:p>
    <w:p w14:paraId="09E84069">
      <w:pPr>
        <w:pStyle w:val="34"/>
        <w:spacing w:line="360" w:lineRule="auto"/>
        <w:ind w:firstLine="360" w:firstLineChars="200"/>
        <w:rPr>
          <w:rFonts w:hint="eastAsia" w:ascii="黑体" w:hAnsi="黑体" w:eastAsia="黑体" w:cs="黑体"/>
          <w:kern w:val="0"/>
          <w:sz w:val="18"/>
          <w:szCs w:val="18"/>
        </w:rPr>
      </w:pPr>
      <w:r>
        <w:rPr>
          <w:rFonts w:ascii="宋体" w:hAnsi="宋体" w:cs="宋体" w:eastAsia="宋体"/>
          <w:sz w:val="18"/>
        </w:rPr>
        <w:t>本产品的销售服务费按前一日理财资产净值与销售服务费每日费率每日计提。销售服务费的计算方法如下：</w:t>
        <w:br/>
      </w:r>
      <w:r>
        <w:rPr>
          <w:rFonts w:ascii="宋体" w:hAnsi="宋体" w:cs="宋体" w:eastAsia="宋体"/>
          <w:sz w:val="18"/>
        </w:rPr>
        <w:t xml:space="preserve">  H＝E×销售服务费年费率÷365</w:t>
        <w:br/>
      </w:r>
      <w:r>
        <w:rPr>
          <w:rFonts w:ascii="宋体" w:hAnsi="宋体" w:cs="宋体" w:eastAsia="宋体"/>
          <w:sz w:val="18"/>
        </w:rPr>
        <w:t xml:space="preserve">  H为每日应计提的销售服务费</w:t>
        <w:br/>
      </w:r>
      <w:r>
        <w:rPr>
          <w:rFonts w:ascii="宋体" w:hAnsi="宋体" w:cs="宋体" w:eastAsia="宋体"/>
          <w:sz w:val="18"/>
        </w:rPr>
        <w:t xml:space="preserve">  E为前一日的理财资产净值</w:t>
        <w:br/>
      </w:r>
      <w:r>
        <w:rPr>
          <w:rFonts w:ascii="宋体" w:hAnsi="宋体" w:cs="宋体" w:eastAsia="宋体"/>
          <w:sz w:val="18"/>
        </w:rPr>
        <w:t xml:space="preserve">  销售服务费依照上述约定，从理财财产中支付。费率具体数值以《产品说明书》“第二条 理财产品基本情况”为准。 </w:t>
      </w:r>
    </w:p>
    <w:p w14:paraId="5D9E902B">
      <w:pPr>
        <w:pStyle w:val="34"/>
        <w:spacing w:line="360" w:lineRule="auto"/>
        <w:ind w:firstLine="360" w:firstLineChars="200"/>
        <w:rPr>
          <w:rFonts w:hint="eastAsia" w:ascii="黑体" w:hAnsi="黑体" w:eastAsia="黑体" w:cs="黑体"/>
          <w:kern w:val="0"/>
          <w:sz w:val="18"/>
          <w:szCs w:val="18"/>
        </w:rPr>
      </w:pPr>
    </w:p>
    <w:permEnd w:id="23"/>
    <w:p w14:paraId="2ABE0601">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（3）理财产品的投资管理费</w:t>
      </w:r>
    </w:p>
    <w:p w14:paraId="3876BEB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本产品的投资管理费按前一日理财资产净值与投资管理费每日费率每日计提。</w:t>
      </w:r>
      <w:r>
        <w:rPr>
          <w:rFonts w:hint="eastAsia" w:ascii="黑体" w:hAnsi="黑体" w:eastAsia="黑体" w:cs="黑体"/>
          <w:kern w:val="0"/>
          <w:sz w:val="18"/>
          <w:szCs w:val="18"/>
        </w:rPr>
        <w:t>投资管理费的计算方法如下：</w:t>
      </w:r>
    </w:p>
    <w:p w14:paraId="79FE28AB">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H＝E×投资管理费年费率÷365</w:t>
      </w:r>
    </w:p>
    <w:p w14:paraId="6B0CF72D">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H为每日应计提的产品投资管理费</w:t>
      </w:r>
    </w:p>
    <w:p w14:paraId="2BBB8E7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E为前一日的理财资产净值</w:t>
      </w:r>
    </w:p>
    <w:p w14:paraId="79DE56CE">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投资管理费依照上述约定，从理财财产中支付。</w:t>
      </w:r>
      <w:r>
        <w:rPr>
          <w:rFonts w:hint="eastAsia" w:ascii="黑体" w:hAnsi="黑体" w:eastAsia="黑体" w:cs="黑体"/>
          <w:sz w:val="18"/>
          <w:szCs w:val="18"/>
        </w:rPr>
        <w:t>费率具体数值以《产品说明书》“第二条 理财产品基本情况”为准</w:t>
      </w:r>
      <w:r>
        <w:rPr>
          <w:rFonts w:hint="eastAsia" w:ascii="黑体" w:hAnsi="黑体" w:eastAsia="黑体" w:cs="黑体"/>
          <w:kern w:val="0"/>
          <w:sz w:val="18"/>
          <w:szCs w:val="18"/>
        </w:rPr>
        <w:t>。</w:t>
      </w:r>
    </w:p>
    <w:p w14:paraId="1AA388CF">
      <w:pPr>
        <w:widowControl/>
        <w:spacing w:line="360" w:lineRule="auto"/>
        <w:ind w:firstLine="360" w:firstLineChars="200"/>
        <w:jc w:val="left"/>
        <w:rPr>
          <w:rFonts w:hint="eastAsia" w:ascii="黑体" w:hAnsi="黑体" w:eastAsia="黑体" w:cs="黑体"/>
          <w:kern w:val="0"/>
          <w:sz w:val="18"/>
          <w:szCs w:val="18"/>
        </w:rPr>
      </w:pPr>
      <w:permStart w:id="24" w:edGrp="everyone"/>
      <w:r>
        <w:rPr>
          <w:rFonts w:hint="eastAsia" w:ascii="黑体" w:hAnsi="黑体" w:eastAsia="黑体" w:cs="黑体"/>
          <w:kern w:val="0"/>
          <w:sz w:val="18"/>
          <w:szCs w:val="18"/>
        </w:rPr>
        <w:t>（4）超额业绩报酬</w:t>
      </w:r>
    </w:p>
    <w:p w14:paraId="7E2BFD5B">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在超额业绩报酬计提日时，若理财资产扣除销售服务费、产品托管费和投资管理费等相关费用和税收后，超额业绩报酬计提日产品份额净值折算的当前年化收益率超过当前业绩报酬计提基准，则产品管理人收取超出部分的一定比例作为超额业绩报酬。★由此造成超额业绩报酬计提日产品份额净值调整的，以调整后的数值为准进行利益分配。</w:t>
      </w:r>
    </w:p>
    <w:p w14:paraId="138EF77D">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业绩报酬计提基准的设置、超额业绩报酬的具体比例数值以《产品说明书》“第二条 理财产品基本情况”为准。</w:t>
      </w:r>
    </w:p>
    <w:p w14:paraId="7C6EA3BF">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1）收取超额业绩报酬的原则：</w:t>
      </w:r>
    </w:p>
    <w:p w14:paraId="7C3A172C">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①按投资者每份产品份额分别计算年化收益率并计提超额业绩报酬；</w:t>
      </w:r>
    </w:p>
    <w:p w14:paraId="4AC4DC8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②在超额业绩报酬计提日，本产品对符合超额业绩报酬提取条件的产品份额计提超额业绩报酬；</w:t>
      </w:r>
    </w:p>
    <w:p w14:paraId="47C23D52">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③在产品终止日提取超额业绩报酬的，超额业绩报酬从清算资金中扣除；</w:t>
      </w:r>
    </w:p>
    <w:p w14:paraId="65F6209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2）超额业绩报酬计提方法</w:t>
      </w:r>
    </w:p>
    <w:p w14:paraId="4D4CBBC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①超额业绩报酬计提起始日</w:t>
      </w:r>
    </w:p>
    <w:p w14:paraId="5ED8685E">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每份产品份额超额业绩报酬计提起始日为：募集期内认购的产品份额，以产品成立日为该份产品份额超额业绩报酬计提起始日。</w:t>
      </w:r>
    </w:p>
    <w:p w14:paraId="581F8869">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②超额业绩报酬计提日</w:t>
      </w:r>
    </w:p>
    <w:p w14:paraId="4BF13A98">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每份产品份额超额业绩报酬每日计提，产品终止日（不含部分终止日）结算。</w:t>
      </w:r>
    </w:p>
    <w:p w14:paraId="6DE63CB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③超额业绩报酬的计算</w:t>
      </w:r>
    </w:p>
    <w:p w14:paraId="70463242">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产品管理人对每份份额当前年化收益率（R）超过当前业绩报酬计提基准的部分，按比例（N）以及产品份额持有天数（D）提取超额业绩报酬，计算方法如下：</w:t>
      </w:r>
    </w:p>
    <w:p w14:paraId="1F782146">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当R≤当前业绩报酬计提基准，超额业绩报酬=0；</w:t>
      </w:r>
    </w:p>
    <w:p w14:paraId="11EA0700">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当R＞当前业绩报酬计提基准，超额业绩报酬=产品终止（不含部分终止）时投资者持有的产品份额×产品成立日产品份额净值×（R-当前业绩报酬计提基准）×N×D/365。</w:t>
      </w:r>
    </w:p>
    <w:p w14:paraId="169CBBCA">
      <w:pPr>
        <w:widowControl/>
        <w:spacing w:line="360" w:lineRule="auto"/>
        <w:ind w:firstLine="361" w:firstLineChars="200"/>
        <w:jc w:val="left"/>
        <w:rPr>
          <w:rFonts w:hint="eastAsia" w:ascii="黑体" w:hAnsi="黑体" w:eastAsia="黑体" w:cs="黑体"/>
          <w:b/>
          <w:bCs/>
          <w:sz w:val="18"/>
          <w:szCs w:val="18"/>
        </w:rPr>
      </w:pPr>
      <w:r>
        <w:rPr>
          <w:rFonts w:hint="eastAsia" w:ascii="黑体" w:hAnsi="黑体" w:eastAsia="黑体" w:cs="黑体"/>
          <w:b/>
          <w:bCs/>
          <w:kern w:val="0"/>
          <w:sz w:val="18"/>
          <w:szCs w:val="18"/>
        </w:rPr>
        <w:t>注：产品部分提前终止情况下，部分提前终止份额不收取超额业绩报酬</w:t>
      </w:r>
      <w:r>
        <w:rPr>
          <w:rFonts w:hint="eastAsia" w:ascii="黑体" w:hAnsi="黑体" w:eastAsia="黑体" w:cs="黑体"/>
          <w:b/>
          <w:bCs/>
          <w:sz w:val="18"/>
          <w:szCs w:val="18"/>
        </w:rPr>
        <w:t>。</w:t>
      </w:r>
    </w:p>
    <w:p w14:paraId="235BE876">
      <w:pPr>
        <w:widowControl/>
        <w:spacing w:line="360" w:lineRule="auto"/>
        <w:ind w:firstLine="361" w:firstLineChars="200"/>
        <w:jc w:val="left"/>
        <w:rPr>
          <w:rFonts w:hint="eastAsia" w:ascii="黑体" w:hAnsi="黑体" w:eastAsia="黑体" w:cs="黑体"/>
          <w:b/>
          <w:bCs/>
          <w:sz w:val="18"/>
          <w:szCs w:val="18"/>
        </w:rPr>
      </w:pPr>
    </w:p>
    <w:permEnd w:id="24"/>
    <w:p w14:paraId="22DF3E4A">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（5）理财产品的产品托管费</w:t>
      </w:r>
    </w:p>
    <w:p w14:paraId="007480BE">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sz w:val="18"/>
          <w:szCs w:val="18"/>
        </w:rPr>
        <w:t>本产品的产品托管费按前一日理财资产净值与产品托管费每日费率每日计提。</w:t>
      </w:r>
      <w:r>
        <w:rPr>
          <w:rFonts w:hint="eastAsia" w:ascii="黑体" w:hAnsi="黑体" w:eastAsia="黑体" w:cs="黑体"/>
          <w:kern w:val="0"/>
          <w:sz w:val="18"/>
          <w:szCs w:val="18"/>
        </w:rPr>
        <w:t>产品托管费的计算方法如下：</w:t>
      </w:r>
    </w:p>
    <w:p w14:paraId="10CEE195">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H＝E×产品托管费年费率÷365</w:t>
      </w:r>
    </w:p>
    <w:p w14:paraId="7795A1A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H为每日应计提的产品托管费</w:t>
      </w:r>
    </w:p>
    <w:p w14:paraId="503BF1C0">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E为前一日的理财资产净值</w:t>
      </w:r>
    </w:p>
    <w:p w14:paraId="391BF5E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产品托管费依照上述约定，从理财财产中支付。</w:t>
      </w:r>
      <w:r>
        <w:rPr>
          <w:rFonts w:hint="eastAsia" w:ascii="黑体" w:hAnsi="黑体" w:eastAsia="黑体" w:cs="黑体"/>
          <w:sz w:val="18"/>
          <w:szCs w:val="18"/>
        </w:rPr>
        <w:t>费率具体数值以《产品说明书》“第二条 理财产品基本情况”为准。</w:t>
      </w:r>
    </w:p>
    <w:p w14:paraId="5D461904">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（6）上述理财产品的证券交易费用</w:t>
      </w:r>
    </w:p>
    <w:p w14:paraId="575AECA3">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w:t>
      </w:r>
    </w:p>
    <w:p w14:paraId="6FB84DF6">
      <w:pPr>
        <w:widowControl/>
        <w:spacing w:line="360" w:lineRule="auto"/>
        <w:ind w:firstLine="360" w:firstLineChars="200"/>
        <w:jc w:val="left"/>
        <w:rPr>
          <w:rFonts w:hint="eastAsia" w:ascii="黑体" w:hAnsi="黑体" w:eastAsia="黑体" w:cs="黑体"/>
          <w:sz w:val="18"/>
          <w:szCs w:val="18"/>
        </w:rPr>
      </w:pPr>
      <w:r>
        <w:rPr>
          <w:rFonts w:hint="eastAsia" w:ascii="黑体" w:hAnsi="黑体" w:eastAsia="黑体" w:cs="黑体"/>
          <w:kern w:val="0"/>
          <w:sz w:val="18"/>
          <w:szCs w:val="18"/>
        </w:rPr>
        <w:t>（7）上述理财产品验资费、审计费、律师费、信息披露费、清算费、执行费用等相关费用</w:t>
      </w:r>
    </w:p>
    <w:p w14:paraId="60D4C785">
      <w:pPr>
        <w:widowControl/>
        <w:spacing w:line="360" w:lineRule="auto"/>
        <w:ind w:firstLine="360" w:firstLineChars="200"/>
        <w:jc w:val="left"/>
        <w:rPr>
          <w:rFonts w:hint="eastAsia" w:ascii="黑体" w:hAnsi="黑体" w:eastAsia="黑体" w:cs="黑体"/>
          <w:kern w:val="0"/>
          <w:sz w:val="18"/>
          <w:szCs w:val="18"/>
        </w:rPr>
      </w:pPr>
      <w:r>
        <w:rPr>
          <w:rFonts w:hint="eastAsia" w:ascii="黑体" w:hAnsi="黑体" w:eastAsia="黑体" w:cs="黑体"/>
          <w:kern w:val="0"/>
          <w:sz w:val="18"/>
          <w:szCs w:val="18"/>
        </w:rPr>
        <w:t>按费用实际支出金额列入当期费用，从理财财产中支付。产品管理人因处理上述事务而先行垫付上述费用的，管理人有权从理财产品资产中优先受偿。</w:t>
      </w:r>
    </w:p>
    <w:p w14:paraId="70CBFB3F">
      <w:pPr>
        <w:pStyle w:val="34"/>
        <w:spacing w:line="360" w:lineRule="auto"/>
        <w:ind w:firstLine="360" w:firstLineChars="200"/>
        <w:rPr>
          <w:rFonts w:hint="eastAsia" w:ascii="黑体" w:hAnsi="黑体" w:eastAsia="黑体" w:cs="黑体"/>
          <w:color w:val="auto"/>
          <w:sz w:val="18"/>
        </w:rPr>
      </w:pPr>
      <w:r>
        <w:rPr>
          <w:rFonts w:hint="eastAsia" w:ascii="黑体" w:hAnsi="黑体" w:eastAsia="黑体" w:cs="黑体"/>
          <w:color w:val="auto"/>
          <w:sz w:val="18"/>
        </w:rPr>
        <w:t>3.</w:t>
      </w:r>
      <w:r>
        <w:rPr>
          <w:rFonts w:hint="eastAsia" w:ascii="黑体" w:hAnsi="黑体" w:eastAsia="黑体" w:cs="黑体"/>
          <w:color w:val="auto"/>
          <w:sz w:val="18"/>
          <w:szCs w:val="18"/>
        </w:rPr>
        <w:t>★理财产品费用</w:t>
      </w:r>
      <w:r>
        <w:rPr>
          <w:rFonts w:hint="eastAsia" w:ascii="黑体" w:hAnsi="黑体" w:eastAsia="黑体" w:cs="黑体"/>
          <w:color w:val="auto"/>
          <w:sz w:val="18"/>
        </w:rPr>
        <w:t>的调整</w:t>
      </w:r>
    </w:p>
    <w:p w14:paraId="22E29C22">
      <w:pPr>
        <w:pStyle w:val="34"/>
        <w:spacing w:line="360" w:lineRule="auto"/>
        <w:ind w:firstLine="360" w:firstLineChars="200"/>
        <w:rPr>
          <w:rFonts w:hint="eastAsia" w:ascii="黑体" w:hAnsi="黑体" w:eastAsia="黑体" w:cs="黑体"/>
          <w:b/>
          <w:color w:val="auto"/>
          <w:sz w:val="18"/>
        </w:rPr>
      </w:pPr>
      <w:r>
        <w:rPr>
          <w:rFonts w:hint="eastAsia" w:ascii="黑体" w:hAnsi="黑体" w:eastAsia="黑体" w:cs="黑体"/>
          <w:color w:val="auto"/>
          <w:sz w:val="18"/>
        </w:rPr>
        <w:t>产品管理人有权</w:t>
      </w:r>
      <w:r>
        <w:rPr>
          <w:rFonts w:hint="eastAsia" w:ascii="黑体" w:hAnsi="黑体" w:eastAsia="黑体" w:cs="黑体"/>
          <w:color w:val="auto"/>
          <w:sz w:val="18"/>
          <w:szCs w:val="18"/>
        </w:rPr>
        <w:t>根据相关法律和国家政策规定，</w:t>
      </w:r>
      <w:r>
        <w:rPr>
          <w:rFonts w:hint="eastAsia" w:ascii="黑体" w:hAnsi="黑体" w:eastAsia="黑体" w:cs="黑体"/>
          <w:color w:val="auto"/>
          <w:sz w:val="18"/>
        </w:rPr>
        <w:t>对理财产品费用的收费项目、收费条件、收费标准和收费方式等进行调整。产品管理人对费用的调整</w:t>
      </w:r>
      <w:r>
        <w:rPr>
          <w:rFonts w:hint="eastAsia" w:ascii="黑体" w:hAnsi="黑体" w:eastAsia="黑体" w:cs="黑体"/>
          <w:bCs/>
          <w:color w:val="auto"/>
          <w:sz w:val="18"/>
        </w:rPr>
        <w:t>将依本产品说明书的“理财产品的信息披露”条款约定进行公告。</w:t>
      </w:r>
    </w:p>
    <w:p w14:paraId="20BD0643">
      <w:pPr>
        <w:pStyle w:val="34"/>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14:paraId="7D8AF546">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14:paraId="074CAA56">
      <w:pPr>
        <w:pStyle w:val="2"/>
        <w:spacing w:line="360" w:lineRule="auto"/>
        <w:jc w:val="center"/>
      </w:pPr>
      <w:bookmarkStart w:id="111" w:name="_Toc3963"/>
      <w:bookmarkStart w:id="112" w:name="_Toc1745"/>
      <w:r>
        <w:br w:type="page"/>
      </w:r>
      <w:bookmarkStart w:id="113" w:name="_Toc176189762"/>
      <w:bookmarkStart w:id="114" w:name="_Toc139991739"/>
      <w:bookmarkStart w:id="115" w:name="_Toc725"/>
      <w:bookmarkStart w:id="116" w:name="_Toc18206"/>
      <w:bookmarkStart w:id="117" w:name="_Toc123102456"/>
      <w:bookmarkStart w:id="118" w:name="_Toc98560355"/>
      <w:bookmarkStart w:id="119" w:name="_Toc16164"/>
      <w:bookmarkStart w:id="120" w:name="_Toc3080"/>
      <w:bookmarkStart w:id="121" w:name="_Toc74065746"/>
      <w:bookmarkStart w:id="122" w:name="_Toc21735"/>
      <w:bookmarkStart w:id="123" w:name="_Toc141703889"/>
      <w:bookmarkStart w:id="124" w:name="_Toc3572"/>
      <w:bookmarkStart w:id="125" w:name="_Toc31821"/>
      <w:bookmarkStart w:id="126" w:name="_Toc123051455"/>
      <w:bookmarkStart w:id="127" w:name="_Toc79154673"/>
      <w:bookmarkStart w:id="128" w:name="_Toc123112237"/>
      <w:bookmarkStart w:id="129" w:name="_Toc10398"/>
      <w:r>
        <w:rPr>
          <w:rFonts w:hint="eastAsia"/>
          <w:sz w:val="30"/>
        </w:rPr>
        <w:t>第</w:t>
      </w:r>
      <w:r>
        <w:rPr>
          <w:sz w:val="30"/>
        </w:rPr>
        <w:t>十</w:t>
      </w:r>
      <w:r>
        <w:rPr>
          <w:rFonts w:hint="eastAsia"/>
          <w:sz w:val="30"/>
        </w:rPr>
        <w:t>条</w:t>
      </w:r>
      <w:r>
        <w:rPr>
          <w:sz w:val="30"/>
        </w:rPr>
        <w:t xml:space="preserve">  </w:t>
      </w:r>
      <w:r>
        <w:rPr>
          <w:rFonts w:hint="eastAsia"/>
          <w:sz w:val="30"/>
        </w:rPr>
        <w:t>理财产品的终止与清算</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14:paraId="4F62B27E">
      <w:pPr>
        <w:spacing w:line="360" w:lineRule="auto"/>
        <w:ind w:firstLine="361" w:firstLineChars="200"/>
        <w:rPr>
          <w:rFonts w:asciiTheme="majorEastAsia" w:hAnsiTheme="majorEastAsia" w:eastAsiaTheme="majorEastAsia"/>
          <w:b/>
          <w:bCs/>
          <w:sz w:val="18"/>
          <w:szCs w:val="18"/>
        </w:rPr>
      </w:pPr>
      <w:bookmarkStart w:id="130" w:name="_Toc57530252"/>
      <w:bookmarkStart w:id="131" w:name="_Toc15118245"/>
      <w:bookmarkStart w:id="132" w:name="_Toc79392593"/>
      <w:r>
        <w:rPr>
          <w:rFonts w:hint="eastAsia" w:asciiTheme="majorEastAsia" w:hAnsiTheme="majorEastAsia" w:eastAsiaTheme="majorEastAsia"/>
          <w:b/>
          <w:bCs/>
          <w:sz w:val="18"/>
          <w:szCs w:val="18"/>
        </w:rPr>
        <w:t>（一）理财产品的终止</w:t>
      </w:r>
    </w:p>
    <w:p w14:paraId="4808BF36">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14:paraId="65462E8D">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14:paraId="361B2AC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14:paraId="32A9560A">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14:paraId="1767A7D9">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14:paraId="3EFE851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14:paraId="19602307">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14:paraId="5C7F24B3">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14:paraId="68761977">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14:paraId="2808DDC7">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14:paraId="13DBE762">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14:paraId="72204FBE">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14:paraId="2DBD4D7D">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14:paraId="1E5D3681">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14:paraId="5017733E">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14:paraId="1D1516DA">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14:paraId="53CEFA89">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14:paraId="6F62159A">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14:paraId="773DD247">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p w14:paraId="54DF14A5">
      <w:pPr>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到期日为理财产品终止日（含提前终止或延期终止）。产品份额全部终止后，理财产品终止运作，进入清算期，清算期内产生的利息（如有）归投资者所有。理财资产清算后扣除理财相关费用、缴纳所欠税款并清偿理财产品负债后，理财利益按投资者持有的理财产品份额比例进行分配。清算期原则上不得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】个工作日，清算期超过【</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】个工作日的，</w:t>
      </w:r>
      <w:r>
        <w:rPr>
          <w:rFonts w:asciiTheme="majorEastAsia" w:hAnsiTheme="majorEastAsia" w:eastAsiaTheme="majorEastAsia"/>
          <w:bCs/>
          <w:sz w:val="18"/>
          <w:szCs w:val="18"/>
        </w:rPr>
        <w:t>将依约</w:t>
      </w:r>
      <w:r>
        <w:rPr>
          <w:rFonts w:hint="eastAsia" w:asciiTheme="majorEastAsia" w:hAnsiTheme="majorEastAsia" w:eastAsiaTheme="majorEastAsia"/>
          <w:bCs/>
          <w:sz w:val="18"/>
          <w:szCs w:val="18"/>
        </w:rPr>
        <w:t>定进行公告。</w:t>
      </w:r>
    </w:p>
    <w:p w14:paraId="7C3C3E92">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14:paraId="3D53AFFF">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部分终止的比例：理财产品将按比例（已变现资产</w:t>
      </w:r>
      <w:r>
        <w:rPr>
          <w:rFonts w:asciiTheme="majorEastAsia" w:hAnsiTheme="majorEastAsia" w:eastAsiaTheme="majorEastAsia"/>
          <w:bCs/>
          <w:sz w:val="18"/>
          <w:szCs w:val="18"/>
        </w:rPr>
        <w:t>/理财产品净资产）</w:t>
      </w:r>
      <w:r>
        <w:rPr>
          <w:rFonts w:hint="eastAsia" w:asciiTheme="majorEastAsia" w:hAnsiTheme="majorEastAsia" w:eastAsiaTheme="majorEastAsia"/>
          <w:bCs/>
          <w:sz w:val="18"/>
          <w:szCs w:val="18"/>
        </w:rPr>
        <w:t>终止部分产品份额，同时根据产品最新的理财产品份额净值和份额计算并支付投资者相应的理财利益，投资者所持有的理财产品份额则按比例注销。</w:t>
      </w:r>
    </w:p>
    <w:p w14:paraId="1CB7B2AA">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部分终止的利益分配：产品管理人将依照销售文件公布部分终止日并指定利益分配日（一般为部分终止日之后的【</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】个工作日以内）。产品管理人应将理财利益于指定的利益分配</w:t>
      </w:r>
      <w:r>
        <w:rPr>
          <w:rFonts w:asciiTheme="majorEastAsia" w:hAnsiTheme="majorEastAsia" w:eastAsiaTheme="majorEastAsia"/>
          <w:bCs/>
          <w:sz w:val="18"/>
          <w:szCs w:val="18"/>
        </w:rPr>
        <w:t>日</w:t>
      </w:r>
      <w:r>
        <w:rPr>
          <w:rFonts w:hint="eastAsia" w:asciiTheme="majorEastAsia" w:hAnsiTheme="majorEastAsia" w:eastAsiaTheme="majorEastAsia"/>
          <w:bCs/>
          <w:sz w:val="18"/>
          <w:szCs w:val="18"/>
        </w:rPr>
        <w:t>（遇节假日顺延）向投资者分配。</w:t>
      </w:r>
    </w:p>
    <w:p w14:paraId="64D486B0">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w:t>
      </w:r>
      <w:r>
        <w:rPr>
          <w:rFonts w:asciiTheme="majorEastAsia" w:hAnsiTheme="majorEastAsia" w:eastAsiaTheme="majorEastAsia"/>
          <w:bCs/>
          <w:sz w:val="18"/>
          <w:szCs w:val="18"/>
        </w:rPr>
        <w:t>利益</w:t>
      </w:r>
      <w:r>
        <w:rPr>
          <w:rFonts w:hint="eastAsia" w:asciiTheme="majorEastAsia" w:hAnsiTheme="majorEastAsia" w:eastAsiaTheme="majorEastAsia"/>
          <w:bCs/>
          <w:sz w:val="18"/>
          <w:szCs w:val="18"/>
        </w:rPr>
        <w:t>实际到账日之间产生的利息（如有），归投资者所有。</w:t>
      </w:r>
    </w:p>
    <w:p w14:paraId="2F0739E7">
      <w:pPr>
        <w:spacing w:line="360" w:lineRule="auto"/>
        <w:ind w:firstLine="360" w:firstLineChars="200"/>
        <w:rPr>
          <w:rFonts w:hint="eastAsia" w:asciiTheme="majorEastAsia" w:hAnsiTheme="majorEastAsia" w:eastAsiaTheme="majorEastAsia"/>
          <w:bCs/>
          <w:sz w:val="18"/>
          <w:szCs w:val="18"/>
        </w:rPr>
      </w:pPr>
      <w:r>
        <w:rPr>
          <w:rFonts w:asciiTheme="majorEastAsia" w:hAnsiTheme="majorEastAsia" w:eastAsiaTheme="majorEastAsia"/>
          <w:bCs/>
          <w:sz w:val="18"/>
          <w:szCs w:val="18"/>
        </w:rPr>
        <w:t>3.理财</w:t>
      </w:r>
      <w:r>
        <w:rPr>
          <w:rFonts w:hint="eastAsia" w:asciiTheme="majorEastAsia" w:hAnsiTheme="majorEastAsia" w:eastAsiaTheme="majorEastAsia"/>
          <w:bCs/>
          <w:sz w:val="18"/>
          <w:szCs w:val="18"/>
        </w:rPr>
        <w:t>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14:paraId="48590845">
      <w:pPr>
        <w:spacing w:line="360" w:lineRule="auto"/>
        <w:ind w:firstLine="360" w:firstLineChars="200"/>
        <w:rPr>
          <w:rFonts w:hint="eastAsia" w:asciiTheme="majorEastAsia" w:hAnsiTheme="majorEastAsia" w:eastAsiaTheme="majorEastAsia"/>
          <w:bCs/>
          <w:sz w:val="18"/>
          <w:szCs w:val="18"/>
        </w:rPr>
      </w:pPr>
      <w:r>
        <w:rPr>
          <w:rFonts w:hint="default" w:asciiTheme="majorEastAsia" w:hAnsiTheme="majorEastAsia" w:eastAsiaTheme="majorEastAsia"/>
          <w:bCs/>
          <w:sz w:val="18"/>
          <w:szCs w:val="18"/>
          <w:lang w:val="en-US" w:eastAsia="zh-CN"/>
        </w:rPr>
        <w:t>4.理财产品终止日，如遇理财产品项下资产因包括但不限于市场风险、信用风险等原因不能全部变现，本产品存在二次或多次清算的可能。如产品管理人拟进行二次或多次清算的，将依约定进行公告。对于未变现资产部分，产品管理人以投资者利益最大化的原则，寻求未变现资产变现方式，在资产变现后，产品持有的现金类资产在扣除理财相关费用、缴纳所欠税款并清偿理财产品负债后，在</w:t>
      </w:r>
      <w:r>
        <w:rPr>
          <w:rFonts w:hint="eastAsia" w:asciiTheme="majorEastAsia" w:hAnsiTheme="majorEastAsia" w:eastAsiaTheme="majorEastAsia"/>
          <w:bCs/>
          <w:sz w:val="18"/>
          <w:szCs w:val="18"/>
        </w:rPr>
        <w:t>【5】</w:t>
      </w:r>
      <w:r>
        <w:rPr>
          <w:rFonts w:hint="default" w:asciiTheme="majorEastAsia" w:hAnsiTheme="majorEastAsia" w:eastAsiaTheme="majorEastAsia"/>
          <w:bCs/>
          <w:sz w:val="18"/>
          <w:szCs w:val="18"/>
          <w:lang w:val="en-US" w:eastAsia="zh-CN"/>
        </w:rPr>
        <w:t>个工作日内按投资者持有的理财产品份额比例向投资者进行再次分配。</w:t>
      </w:r>
    </w:p>
    <w:bookmarkEnd w:id="130"/>
    <w:bookmarkEnd w:id="131"/>
    <w:bookmarkEnd w:id="132"/>
    <w:p w14:paraId="092845A2">
      <w:pPr>
        <w:pStyle w:val="2"/>
        <w:spacing w:before="0" w:after="0" w:line="360" w:lineRule="auto"/>
        <w:jc w:val="center"/>
        <w:rPr>
          <w:rFonts w:ascii="Times New Roman"/>
          <w:sz w:val="30"/>
        </w:rPr>
      </w:pPr>
      <w:r>
        <w:rPr>
          <w:rFonts w:ascii="Times New Roman"/>
          <w:b w:val="0"/>
          <w:bCs w:val="0"/>
          <w:kern w:val="2"/>
        </w:rPr>
        <w:br w:type="page"/>
      </w:r>
      <w:bookmarkStart w:id="133" w:name="_Toc48649708"/>
      <w:bookmarkStart w:id="134" w:name="_Toc74065747"/>
      <w:bookmarkStart w:id="135" w:name="_Toc5170"/>
      <w:bookmarkStart w:id="136" w:name="_Toc79392622"/>
      <w:bookmarkStart w:id="137" w:name="_Toc123051456"/>
      <w:bookmarkStart w:id="138" w:name="_Toc32092"/>
      <w:bookmarkStart w:id="139" w:name="_Toc123102457"/>
      <w:bookmarkStart w:id="140" w:name="_Toc29408"/>
      <w:bookmarkStart w:id="141" w:name="_Toc123112238"/>
      <w:bookmarkStart w:id="142" w:name="_Toc141703890"/>
      <w:bookmarkStart w:id="143" w:name="_Toc8791"/>
      <w:bookmarkStart w:id="144" w:name="_Toc176189763"/>
      <w:bookmarkStart w:id="145" w:name="_Toc17920"/>
      <w:bookmarkStart w:id="146" w:name="_Toc739"/>
      <w:bookmarkStart w:id="147" w:name="_Toc21237"/>
      <w:bookmarkStart w:id="148" w:name="_Toc32584"/>
      <w:bookmarkStart w:id="149" w:name="_Toc79154674"/>
      <w:bookmarkStart w:id="150" w:name="_Toc98560356"/>
      <w:bookmarkStart w:id="151" w:name="_Toc139991740"/>
      <w:bookmarkStart w:id="152" w:name="_Toc3329"/>
      <w:bookmarkStart w:id="153" w:name="_Toc17198"/>
      <w:r>
        <w:rPr>
          <w:rFonts w:ascii="Times New Roman"/>
          <w:sz w:val="30"/>
        </w:rPr>
        <w:t>第十一</w:t>
      </w:r>
      <w:r>
        <w:rPr>
          <w:rFonts w:hint="eastAsia" w:ascii="Times New Roman"/>
          <w:sz w:val="30"/>
        </w:rPr>
        <w:t>条</w:t>
      </w:r>
      <w:r>
        <w:rPr>
          <w:rFonts w:ascii="Times New Roman"/>
          <w:sz w:val="30"/>
        </w:rPr>
        <w:t xml:space="preserve">  </w:t>
      </w:r>
      <w:r>
        <w:rPr>
          <w:rFonts w:hint="eastAsia" w:ascii="Times New Roman"/>
          <w:sz w:val="30"/>
        </w:rPr>
        <w:t>理财产品的信息披露</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46639539">
      <w:pPr>
        <w:spacing w:line="360" w:lineRule="auto"/>
        <w:ind w:firstLine="361"/>
        <w:rPr>
          <w:rFonts w:ascii="宋体" w:hAnsi="宋体"/>
          <w:b/>
          <w:bCs/>
          <w:sz w:val="18"/>
          <w:szCs w:val="18"/>
        </w:rPr>
      </w:pPr>
      <w:r>
        <w:rPr>
          <w:rFonts w:hint="eastAsia" w:ascii="宋体" w:hAnsi="宋体"/>
          <w:b/>
          <w:bCs/>
          <w:sz w:val="18"/>
          <w:szCs w:val="18"/>
        </w:rPr>
        <w:t>（一）信息</w:t>
      </w:r>
      <w:r>
        <w:rPr>
          <w:rFonts w:ascii="宋体" w:hAnsi="宋体"/>
          <w:b/>
          <w:bCs/>
          <w:sz w:val="18"/>
          <w:szCs w:val="18"/>
        </w:rPr>
        <w:t>披露的原则</w:t>
      </w:r>
    </w:p>
    <w:p w14:paraId="73B84A99">
      <w:pPr>
        <w:spacing w:line="360" w:lineRule="auto"/>
        <w:ind w:firstLine="36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14:paraId="33D40725">
      <w:pPr>
        <w:spacing w:line="360" w:lineRule="auto"/>
        <w:ind w:firstLine="361"/>
        <w:rPr>
          <w:rFonts w:ascii="宋体" w:hAnsi="宋体"/>
          <w:b/>
          <w:bCs/>
          <w:sz w:val="18"/>
          <w:szCs w:val="18"/>
        </w:rPr>
      </w:pPr>
      <w:r>
        <w:rPr>
          <w:rFonts w:hint="eastAsia" w:ascii="宋体" w:hAnsi="宋体"/>
          <w:b/>
          <w:bCs/>
          <w:sz w:val="18"/>
          <w:szCs w:val="18"/>
        </w:rPr>
        <w:t>（二）信息披露的渠道</w:t>
      </w:r>
    </w:p>
    <w:p w14:paraId="55993840">
      <w:pPr>
        <w:spacing w:line="360" w:lineRule="auto"/>
        <w:ind w:firstLine="36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w:t>
      </w:r>
      <w:r>
        <w:rPr>
          <w:rFonts w:ascii="宋体" w:hAnsi="宋体"/>
          <w:bCs/>
          <w:sz w:val="18"/>
          <w:szCs w:val="18"/>
        </w:rPr>
        <w:t>。本理财产品认购期和存续期间，产品管理人将通过产品管理人或销售机构的信息披露渠道开展理财产品的信息披露工作。请投资者及时关注。</w:t>
      </w:r>
    </w:p>
    <w:p w14:paraId="4BF10871">
      <w:pPr>
        <w:spacing w:line="360" w:lineRule="auto"/>
        <w:ind w:firstLine="36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14:paraId="61BA7CF0">
      <w:pPr>
        <w:spacing w:line="360" w:lineRule="auto"/>
        <w:ind w:firstLine="360"/>
        <w:rPr>
          <w:rFonts w:ascii="宋体" w:hAnsi="宋体"/>
          <w:bCs/>
          <w:sz w:val="18"/>
          <w:szCs w:val="18"/>
        </w:rPr>
      </w:pPr>
      <w:r>
        <w:rPr>
          <w:rFonts w:ascii="宋体" w:hAnsi="宋体"/>
          <w:bCs/>
          <w:sz w:val="18"/>
          <w:szCs w:val="18"/>
        </w:rPr>
        <w:t>3.投资者应定期通过约定的信息披露渠道获知有关理财产品相关信息。以上相关信息自披露之日即视为已送达投资者，也视为产品管理人</w:t>
      </w:r>
      <w:r>
        <w:rPr>
          <w:rFonts w:hint="eastAsia" w:ascii="宋体" w:hAnsi="宋体"/>
          <w:bCs/>
          <w:sz w:val="18"/>
          <w:szCs w:val="18"/>
        </w:rPr>
        <w:t>已适当披露理财产品相关信息。投资者承诺将及时接收、浏览和阅读该等信息。如投资者对本产品的运作状况有任何疑问，可向产品管理人或销售机构进行咨询。</w:t>
      </w:r>
    </w:p>
    <w:p w14:paraId="1A5308B3">
      <w:pPr>
        <w:spacing w:line="360" w:lineRule="auto"/>
        <w:ind w:firstLine="360"/>
        <w:rPr>
          <w:rFonts w:ascii="宋体" w:hAnsi="宋体"/>
          <w:bCs/>
          <w:sz w:val="18"/>
          <w:szCs w:val="18"/>
        </w:rPr>
      </w:pPr>
      <w:r>
        <w:rPr>
          <w:rFonts w:ascii="宋体" w:hAnsi="宋体"/>
          <w:bCs/>
          <w:sz w:val="18"/>
          <w:szCs w:val="18"/>
        </w:rPr>
        <w:t>4.在保障投资者知情权的前提下</w:t>
      </w:r>
      <w:r>
        <w:rPr>
          <w:rFonts w:hint="eastAsia" w:ascii="宋体" w:hAnsi="宋体"/>
          <w:bCs/>
          <w:sz w:val="18"/>
          <w:szCs w:val="18"/>
        </w:rPr>
        <w:t>，</w:t>
      </w:r>
      <w:r>
        <w:rPr>
          <w:rFonts w:ascii="宋体" w:hAnsi="宋体"/>
          <w:bCs/>
          <w:sz w:val="18"/>
          <w:szCs w:val="18"/>
        </w:rPr>
        <w:t>产品管理人保留变更信息披露渠道的权利。</w:t>
      </w:r>
    </w:p>
    <w:p w14:paraId="12042A2E">
      <w:pPr>
        <w:spacing w:line="360" w:lineRule="auto"/>
        <w:ind w:firstLine="361"/>
        <w:rPr>
          <w:rFonts w:ascii="宋体" w:hAnsi="宋体"/>
          <w:b/>
          <w:bCs/>
          <w:sz w:val="18"/>
          <w:szCs w:val="18"/>
        </w:rPr>
      </w:pPr>
      <w:r>
        <w:rPr>
          <w:rFonts w:hint="eastAsia" w:ascii="宋体" w:hAnsi="宋体"/>
          <w:b/>
          <w:bCs/>
          <w:sz w:val="18"/>
          <w:szCs w:val="18"/>
        </w:rPr>
        <w:t>（三）信息披露的内容</w:t>
      </w:r>
    </w:p>
    <w:p w14:paraId="708587CA">
      <w:pPr>
        <w:spacing w:line="360" w:lineRule="auto"/>
        <w:ind w:firstLine="36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等信息。</w:t>
      </w:r>
    </w:p>
    <w:p w14:paraId="7DEA02EA">
      <w:pPr>
        <w:spacing w:line="360" w:lineRule="auto"/>
        <w:ind w:firstLine="361"/>
        <w:rPr>
          <w:rFonts w:ascii="宋体" w:hAnsi="宋体"/>
          <w:b/>
          <w:bCs/>
          <w:sz w:val="18"/>
          <w:szCs w:val="18"/>
        </w:rPr>
      </w:pPr>
      <w:r>
        <w:rPr>
          <w:rFonts w:hint="eastAsia" w:ascii="宋体" w:hAnsi="宋体"/>
          <w:b/>
          <w:bCs/>
          <w:sz w:val="18"/>
          <w:szCs w:val="18"/>
        </w:rPr>
        <w:t>（四）信息披露的频率和时间</w:t>
      </w:r>
    </w:p>
    <w:p w14:paraId="7840704E">
      <w:pPr>
        <w:spacing w:line="360" w:lineRule="auto"/>
        <w:ind w:firstLine="360"/>
        <w:rPr>
          <w:rFonts w:ascii="宋体" w:hAnsi="宋体"/>
          <w:bCs/>
          <w:sz w:val="18"/>
          <w:szCs w:val="18"/>
        </w:rPr>
      </w:pPr>
      <w:r>
        <w:rPr>
          <w:rFonts w:ascii="宋体" w:hAnsi="宋体"/>
          <w:bCs/>
          <w:sz w:val="18"/>
          <w:szCs w:val="18"/>
        </w:rPr>
        <w:t>1.产品成立公告</w:t>
      </w:r>
    </w:p>
    <w:p w14:paraId="2D800535">
      <w:pPr>
        <w:spacing w:line="360" w:lineRule="auto"/>
        <w:ind w:firstLine="360"/>
        <w:rPr>
          <w:rFonts w:ascii="宋体" w:hAnsi="宋体"/>
          <w:bCs/>
          <w:sz w:val="18"/>
          <w:szCs w:val="18"/>
        </w:rPr>
      </w:pPr>
      <w:r>
        <w:rPr>
          <w:rFonts w:hint="eastAsia" w:ascii="宋体" w:hAnsi="宋体"/>
          <w:bCs/>
          <w:sz w:val="18"/>
          <w:szCs w:val="18"/>
        </w:rPr>
        <w:t>本产品成立后</w:t>
      </w:r>
      <w:r>
        <w:rPr>
          <w:rFonts w:ascii="宋体" w:hAnsi="宋体"/>
          <w:bCs/>
          <w:sz w:val="18"/>
          <w:szCs w:val="18"/>
        </w:rPr>
        <w:t>5个工作日内，产品管理人将发布产品成立公告。</w:t>
      </w:r>
    </w:p>
    <w:p w14:paraId="167A6CC1">
      <w:pPr>
        <w:spacing w:line="360" w:lineRule="auto"/>
        <w:ind w:firstLine="360"/>
        <w:rPr>
          <w:rFonts w:ascii="宋体" w:hAnsi="宋体"/>
          <w:bCs/>
          <w:sz w:val="18"/>
          <w:szCs w:val="18"/>
        </w:rPr>
      </w:pPr>
      <w:r>
        <w:rPr>
          <w:rFonts w:ascii="宋体" w:hAnsi="宋体"/>
          <w:bCs/>
          <w:sz w:val="18"/>
          <w:szCs w:val="18"/>
        </w:rPr>
        <w:t>2.重大事项</w:t>
      </w:r>
      <w:r>
        <w:rPr>
          <w:rFonts w:hint="eastAsia" w:ascii="宋体" w:hAnsi="宋体"/>
          <w:bCs/>
          <w:sz w:val="18"/>
          <w:szCs w:val="18"/>
        </w:rPr>
        <w:t>公告</w:t>
      </w:r>
    </w:p>
    <w:p w14:paraId="39DA0CE6">
      <w:pPr>
        <w:spacing w:line="360" w:lineRule="auto"/>
        <w:ind w:firstLine="36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14:paraId="7072A22E">
      <w:pPr>
        <w:spacing w:line="360" w:lineRule="auto"/>
        <w:ind w:firstLine="360"/>
        <w:rPr>
          <w:rFonts w:ascii="宋体" w:hAnsi="宋体"/>
          <w:bCs/>
          <w:sz w:val="18"/>
          <w:szCs w:val="18"/>
        </w:rPr>
      </w:pPr>
      <w:r>
        <w:rPr>
          <w:rFonts w:ascii="宋体" w:hAnsi="宋体"/>
          <w:bCs/>
          <w:sz w:val="18"/>
          <w:szCs w:val="18"/>
        </w:rPr>
        <w:t>3.定期报告</w:t>
      </w:r>
    </w:p>
    <w:p w14:paraId="54999983">
      <w:pPr>
        <w:spacing w:line="360" w:lineRule="auto"/>
        <w:ind w:firstLine="360"/>
        <w:rPr>
          <w:rFonts w:ascii="宋体" w:hAnsi="宋体"/>
          <w:bCs/>
          <w:sz w:val="18"/>
          <w:szCs w:val="18"/>
        </w:rPr>
      </w:pPr>
      <w:r>
        <w:rPr>
          <w:rFonts w:hint="eastAsia" w:ascii="宋体" w:hAnsi="宋体"/>
          <w:bCs/>
          <w:sz w:val="18"/>
          <w:szCs w:val="18"/>
        </w:rPr>
        <w:t>定期报告分为</w:t>
      </w:r>
      <w:r>
        <w:rPr>
          <w:rFonts w:ascii="宋体" w:hAnsi="宋体"/>
          <w:bCs/>
          <w:sz w:val="18"/>
          <w:szCs w:val="18"/>
        </w:rPr>
        <w:t>季度、半年度和年度定期报告。</w:t>
      </w:r>
      <w:r>
        <w:rPr>
          <w:rFonts w:hint="eastAsia" w:ascii="宋体" w:hAnsi="宋体"/>
          <w:bCs/>
          <w:sz w:val="18"/>
          <w:szCs w:val="18"/>
        </w:rPr>
        <w:t>产品成立超过</w:t>
      </w:r>
      <w:r>
        <w:rPr>
          <w:rFonts w:ascii="宋体" w:hAnsi="宋体"/>
          <w:bCs/>
          <w:sz w:val="18"/>
          <w:szCs w:val="18"/>
        </w:rPr>
        <w:t>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14:paraId="75D43442">
      <w:pPr>
        <w:spacing w:line="360" w:lineRule="auto"/>
        <w:ind w:firstLine="360"/>
        <w:rPr>
          <w:rFonts w:ascii="宋体" w:hAnsi="宋体"/>
          <w:bCs/>
          <w:sz w:val="18"/>
          <w:szCs w:val="18"/>
        </w:rPr>
      </w:pPr>
      <w:r>
        <w:rPr>
          <w:rFonts w:ascii="宋体" w:hAnsi="宋体"/>
          <w:bCs/>
          <w:sz w:val="18"/>
          <w:szCs w:val="18"/>
        </w:rPr>
        <w:t>4.到期公告</w:t>
      </w:r>
    </w:p>
    <w:p w14:paraId="5CC32690">
      <w:pPr>
        <w:spacing w:line="360" w:lineRule="auto"/>
        <w:ind w:firstLine="360"/>
        <w:rPr>
          <w:rFonts w:ascii="宋体" w:hAnsi="宋体"/>
          <w:bCs/>
          <w:sz w:val="18"/>
          <w:szCs w:val="18"/>
        </w:rPr>
      </w:pPr>
      <w:r>
        <w:rPr>
          <w:rFonts w:hint="eastAsia" w:ascii="宋体" w:hAnsi="宋体"/>
          <w:bCs/>
          <w:sz w:val="18"/>
          <w:szCs w:val="18"/>
        </w:rPr>
        <w:t>如果产品管理人主动提前终止本产品，产品管理人将提前</w:t>
      </w:r>
      <w:r>
        <w:rPr>
          <w:rFonts w:ascii="宋体" w:hAnsi="宋体"/>
          <w:bCs/>
          <w:sz w:val="18"/>
          <w:szCs w:val="18"/>
        </w:rPr>
        <w:t>2个工作日进行公告。本产品终止后5个工作日内，产品管理人发布产品到期公告。</w:t>
      </w:r>
    </w:p>
    <w:p w14:paraId="7A101038">
      <w:pPr>
        <w:spacing w:line="360" w:lineRule="auto"/>
        <w:ind w:firstLine="360"/>
        <w:rPr>
          <w:rFonts w:ascii="宋体" w:hAnsi="宋体"/>
          <w:bCs/>
          <w:sz w:val="18"/>
          <w:szCs w:val="18"/>
        </w:rPr>
      </w:pPr>
      <w:r>
        <w:rPr>
          <w:rFonts w:ascii="宋体" w:hAnsi="宋体"/>
          <w:bCs/>
          <w:sz w:val="18"/>
          <w:szCs w:val="18"/>
        </w:rPr>
        <w:t>5.估值日公告</w:t>
      </w:r>
    </w:p>
    <w:p w14:paraId="679E4947">
      <w:pPr>
        <w:spacing w:line="360" w:lineRule="auto"/>
        <w:ind w:firstLine="360"/>
        <w:rPr>
          <w:rFonts w:ascii="宋体" w:hAnsi="宋体"/>
          <w:bCs/>
          <w:sz w:val="18"/>
          <w:szCs w:val="18"/>
        </w:rPr>
      </w:pPr>
      <w:permStart w:id="25" w:edGrp="everyone"/>
      <w:r>
        <w:rPr>
          <w:rFonts w:hint="eastAsia" w:ascii="宋体" w:hAnsi="宋体"/>
          <w:bCs/>
          <w:sz w:val="18"/>
          <w:szCs w:val="18"/>
        </w:rPr>
        <w:t>产品</w:t>
      </w:r>
      <w:r>
        <w:rPr>
          <w:rFonts w:ascii="宋体" w:hAnsi="宋体"/>
          <w:bCs/>
          <w:sz w:val="18"/>
          <w:szCs w:val="18"/>
        </w:rPr>
        <w:t>存续</w:t>
      </w:r>
      <w:r>
        <w:rPr>
          <w:rFonts w:hint="eastAsia" w:ascii="宋体" w:hAnsi="宋体"/>
          <w:bCs/>
          <w:sz w:val="18"/>
          <w:szCs w:val="18"/>
        </w:rPr>
        <w:t>期间，每【周】向投资者披露一次估值日公告，估值日公告披露的内容包括估值日的产品份额净值、产品份额累计净值等。如遇法定节假日顺延。此外，如遇其他特殊情况，以产品管理人信息披露为准。</w:t>
      </w:r>
    </w:p>
    <w:permEnd w:id="25"/>
    <w:p w14:paraId="1B1B255C">
      <w:pPr>
        <w:spacing w:line="360" w:lineRule="auto"/>
        <w:ind w:firstLine="360"/>
        <w:rPr>
          <w:rFonts w:ascii="宋体" w:hAnsi="宋体"/>
          <w:bCs/>
          <w:sz w:val="18"/>
          <w:szCs w:val="18"/>
        </w:rPr>
      </w:pPr>
      <w:r>
        <w:rPr>
          <w:rFonts w:ascii="宋体" w:hAnsi="宋体"/>
          <w:bCs/>
          <w:sz w:val="18"/>
          <w:szCs w:val="18"/>
        </w:rPr>
        <w:t>6.临时公告</w:t>
      </w:r>
    </w:p>
    <w:p w14:paraId="0A4814CB">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14:paraId="4DC82A26">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认购申请、暂停理财产品估值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在发生涉及产品认购事项调整时，管理人将发布临时公告。</w:t>
      </w:r>
    </w:p>
    <w:p w14:paraId="23EE1E76">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14:paraId="29F261E2">
      <w:pPr>
        <w:spacing w:line="360" w:lineRule="auto"/>
        <w:ind w:firstLine="361"/>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14:paraId="59C55D0A">
      <w:pPr>
        <w:spacing w:line="360" w:lineRule="auto"/>
        <w:ind w:firstLine="36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14:paraId="0C1B1A42">
      <w:pPr>
        <w:spacing w:line="360" w:lineRule="auto"/>
        <w:ind w:firstLine="360"/>
        <w:rPr>
          <w:rFonts w:ascii="宋体" w:hAnsi="宋体"/>
          <w:bCs/>
          <w:sz w:val="18"/>
          <w:szCs w:val="18"/>
        </w:rPr>
      </w:pPr>
      <w:r>
        <w:rPr>
          <w:rFonts w:hint="eastAsia" w:ascii="宋体" w:hAnsi="宋体"/>
          <w:bCs/>
          <w:sz w:val="18"/>
          <w:szCs w:val="18"/>
        </w:rPr>
        <w:t>除前述事项外，如出现其他突发事件，需在事件发生后及时进行披露。</w:t>
      </w:r>
    </w:p>
    <w:p w14:paraId="511A3740">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14:paraId="4C2DC04C">
      <w:pPr>
        <w:widowControl/>
        <w:spacing w:line="360" w:lineRule="auto"/>
        <w:jc w:val="left"/>
        <w:rPr>
          <w:bCs/>
          <w:sz w:val="24"/>
        </w:rPr>
      </w:pPr>
      <w:r>
        <w:rPr>
          <w:bCs/>
          <w:sz w:val="24"/>
        </w:rPr>
        <w:br w:type="page"/>
      </w:r>
    </w:p>
    <w:p w14:paraId="26F8896E">
      <w:pPr>
        <w:pStyle w:val="2"/>
        <w:spacing w:before="0" w:after="0" w:line="360" w:lineRule="auto"/>
        <w:jc w:val="center"/>
        <w:rPr>
          <w:rFonts w:ascii="Times New Roman"/>
          <w:b w:val="0"/>
          <w:sz w:val="30"/>
        </w:rPr>
      </w:pPr>
      <w:bookmarkStart w:id="154" w:name="_Toc176189764"/>
      <w:bookmarkStart w:id="155" w:name="_Toc79154675"/>
      <w:r>
        <w:rPr>
          <w:rFonts w:hint="eastAsia" w:ascii="Times New Roman"/>
          <w:sz w:val="30"/>
        </w:rPr>
        <w:t>第十</w:t>
      </w:r>
      <w:r>
        <w:rPr>
          <w:rFonts w:ascii="Times New Roman"/>
          <w:sz w:val="30"/>
        </w:rPr>
        <w:t>二</w:t>
      </w:r>
      <w:r>
        <w:rPr>
          <w:rFonts w:hint="eastAsia" w:ascii="Times New Roman"/>
          <w:sz w:val="30"/>
        </w:rPr>
        <w:t>条</w:t>
      </w:r>
      <w:r>
        <w:rPr>
          <w:rFonts w:ascii="Times New Roman"/>
          <w:sz w:val="30"/>
        </w:rPr>
        <w:t xml:space="preserve">  </w:t>
      </w:r>
      <w:r>
        <w:rPr>
          <w:rFonts w:hint="eastAsia" w:ascii="Times New Roman"/>
          <w:sz w:val="30"/>
        </w:rPr>
        <w:t>理财产品</w:t>
      </w:r>
      <w:r>
        <w:rPr>
          <w:rFonts w:ascii="Times New Roman"/>
          <w:sz w:val="30"/>
        </w:rPr>
        <w:t>的风险揭示</w:t>
      </w:r>
      <w:bookmarkEnd w:id="154"/>
      <w:bookmarkEnd w:id="155"/>
    </w:p>
    <w:p w14:paraId="200BF351">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14:paraId="44513DB9">
      <w:pPr>
        <w:spacing w:line="360" w:lineRule="auto"/>
        <w:ind w:firstLine="360" w:firstLineChars="200"/>
        <w:rPr>
          <w:rFonts w:hint="eastAsia" w:ascii="宋体" w:hAnsi="宋体"/>
          <w:sz w:val="18"/>
          <w:szCs w:val="18"/>
        </w:rPr>
      </w:pPr>
      <w:permStart w:id="26" w:edGrp="everyone"/>
      <w:r>
        <w:rPr>
          <w:rFonts w:hint="eastAsia" w:ascii="宋体" w:hAnsi="宋体"/>
          <w:sz w:val="18"/>
          <w:szCs w:val="18"/>
        </w:rPr>
        <w:t>【1.拟投资市场和资产的风险：</w:t>
      </w:r>
    </w:p>
    <w:p w14:paraId="587FFFAB">
      <w:pPr>
        <w:spacing w:line="360" w:lineRule="auto"/>
        <w:ind w:firstLine="360" w:firstLineChars="200"/>
        <w:rPr>
          <w:rFonts w:hint="eastAsia" w:ascii="宋体" w:hAnsi="宋体"/>
          <w:sz w:val="18"/>
          <w:szCs w:val="18"/>
        </w:rPr>
      </w:pPr>
      <w:r>
        <w:rPr>
          <w:rFonts w:hint="eastAsia" w:ascii="宋体" w:hAnsi="宋体"/>
          <w:sz w:val="18"/>
          <w:szCs w:val="18"/>
        </w:rPr>
        <w:t>（1）投资债权类资产的风险</w:t>
      </w:r>
    </w:p>
    <w:p w14:paraId="357CCF4E">
      <w:pPr>
        <w:spacing w:line="360" w:lineRule="auto"/>
        <w:ind w:firstLine="360" w:firstLineChars="200"/>
        <w:rPr>
          <w:rFonts w:hint="eastAsia" w:ascii="宋体" w:hAnsi="宋体"/>
          <w:sz w:val="18"/>
          <w:szCs w:val="18"/>
        </w:rPr>
      </w:pPr>
      <w:r>
        <w:rPr>
          <w:rFonts w:hint="eastAsia" w:ascii="宋体" w:hAnsi="宋体"/>
          <w:sz w:val="18"/>
          <w:szCs w:val="18"/>
        </w:rPr>
        <w:t>1）投资标准化债权类资产的风险</w:t>
      </w:r>
    </w:p>
    <w:p w14:paraId="360ADA25">
      <w:pPr>
        <w:spacing w:line="360" w:lineRule="auto"/>
        <w:ind w:firstLine="360" w:firstLineChars="200"/>
        <w:rPr>
          <w:rFonts w:hint="eastAsia" w:ascii="宋体" w:hAnsi="宋体"/>
          <w:sz w:val="18"/>
          <w:szCs w:val="18"/>
        </w:rPr>
      </w:pPr>
      <w:r>
        <w:rPr>
          <w:rFonts w:hint="eastAsia" w:ascii="宋体" w:hAnsi="宋体"/>
          <w:sz w:val="18"/>
          <w:szCs w:val="18"/>
        </w:rPr>
        <w:t>本产品投资债券、资产支持证券等债权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p>
    <w:p w14:paraId="01F3BAFB">
      <w:pPr>
        <w:spacing w:line="360" w:lineRule="auto"/>
        <w:ind w:firstLine="360" w:firstLineChars="200"/>
        <w:rPr>
          <w:rFonts w:hint="eastAsia" w:ascii="宋体" w:hAnsi="宋体"/>
          <w:sz w:val="18"/>
          <w:szCs w:val="18"/>
        </w:rPr>
      </w:pPr>
      <w:r>
        <w:rPr>
          <w:rFonts w:hint="eastAsia" w:ascii="宋体" w:hAnsi="宋体"/>
          <w:sz w:val="18"/>
          <w:szCs w:val="18"/>
        </w:rPr>
        <w:t>2）投资非标准化债权类资产的风险</w:t>
      </w:r>
    </w:p>
    <w:p w14:paraId="7AB29C80">
      <w:pPr>
        <w:spacing w:line="360" w:lineRule="auto"/>
        <w:ind w:firstLine="360" w:firstLineChars="200"/>
        <w:rPr>
          <w:rFonts w:ascii="宋体" w:hAnsi="宋体"/>
          <w:sz w:val="18"/>
          <w:szCs w:val="18"/>
        </w:rPr>
      </w:pPr>
      <w:r>
        <w:rPr>
          <w:rFonts w:hint="eastAsia" w:ascii="宋体" w:hAnsi="宋体"/>
          <w:sz w:val="18"/>
          <w:szCs w:val="18"/>
        </w:rPr>
        <w:t>本产品投资非标债权类资产时可能面临以下风险：由于融资主体/增信主体/其他义务人还款履约能力可能的变化导致的信用风险（包括但不限于：融资主体提前还款、延期还款或逾期还款的风险；增信主体未能履行增信义务（例如：保证担保、差额补足、远期回购、流动性支持等增信措施）的风险）；非标债权类资产可能因其无法等分化交易、信息披露不充分、未能集中登记和独立托管、缺乏公允性定价和流动机制不完善、未在银行间市场、证券交易所市场等国务院同意设立的交易市场交易等原因，从而缺乏交易对手，导致流动性风险等。</w:t>
      </w:r>
      <w:bookmarkStart w:id="156" w:name="_GoBack"/>
      <w:bookmarkEnd w:id="156"/>
      <w:r>
        <w:rPr>
          <w:rFonts w:hint="eastAsia" w:ascii="宋体" w:hAnsi="宋体"/>
          <w:sz w:val="18"/>
          <w:szCs w:val="18"/>
        </w:rPr>
        <w:t>】</w:t>
      </w:r>
      <w:permEnd w:id="26"/>
    </w:p>
    <w:p w14:paraId="48C28959">
      <w:pPr>
        <w:pStyle w:val="38"/>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14:paraId="03AADA6C">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14:paraId="6C4CDB70">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14:paraId="661A3CB8">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14:paraId="5B9F4C97">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14:paraId="6061C3C8">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14:paraId="22E0F3AC">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14:paraId="17C7B79C">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14:paraId="5E6F7752">
      <w:pPr>
        <w:spacing w:line="360" w:lineRule="auto"/>
        <w:ind w:firstLine="360" w:firstLineChars="200"/>
        <w:rPr>
          <w:rFonts w:ascii="宋体" w:hAnsi="宋体"/>
          <w:sz w:val="18"/>
          <w:szCs w:val="18"/>
        </w:rPr>
      </w:pPr>
      <w:r>
        <w:rPr>
          <w:rFonts w:hint="eastAsia" w:ascii="宋体" w:hAnsi="宋体"/>
          <w:sz w:val="18"/>
          <w:szCs w:val="18"/>
        </w:rPr>
        <w:t>4.流动性风险</w:t>
      </w:r>
    </w:p>
    <w:p w14:paraId="78A6AF91">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14:paraId="2F18B4E7">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14:paraId="72BD425C">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14:paraId="6CC58E49">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14:paraId="518EF905">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14:paraId="52DB4C2D">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14:paraId="2C304664">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14:paraId="01835C74">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14:paraId="69D6D134">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14:paraId="1A6A79D3">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14:paraId="292D5F57">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14:paraId="68850B22">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14:paraId="1E365D4B">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14:paraId="16A8EED9">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14:paraId="05F44B5C">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14:paraId="2235A9A6">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14:paraId="6FA549E8">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14:paraId="09037CF5">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14:paraId="6522DDC1">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当前述资产管理产品计提业绩报酬时，本理财产品的产品份额净值存在下跌的风险。</w:t>
      </w:r>
    </w:p>
    <w:p w14:paraId="0A4A62D5">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14:paraId="78987E79">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理财投资基础资产时涉及对资产估值不准确、及时的，理财产品管理人及产品托管人对理财产品费用计提出现错误，将导致本产品估值差错，可能影响理财产品份额净值。</w:t>
      </w:r>
    </w:p>
    <w:p w14:paraId="6A7DD53E">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14:paraId="10F18E3C">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14:paraId="25575578">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14:paraId="449C0F9C">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14:paraId="0BBC99DE">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17.★关联交易风险</w:t>
      </w:r>
    </w:p>
    <w:p w14:paraId="714D9763">
      <w:pPr>
        <w:spacing w:line="360" w:lineRule="auto"/>
        <w:ind w:firstLine="360" w:firstLineChars="200"/>
        <w:rPr>
          <w:rFonts w:hint="eastAsia" w:ascii="黑体" w:hAnsi="黑体" w:eastAsia="黑体" w:cs="黑体"/>
          <w:sz w:val="18"/>
          <w:szCs w:val="18"/>
        </w:rPr>
      </w:pPr>
      <w:r>
        <w:rPr>
          <w:rFonts w:hint="eastAsia" w:ascii="黑体" w:hAnsi="黑体" w:eastAsia="黑体" w:cs="黑体"/>
          <w:sz w:val="18"/>
          <w:szCs w:val="18"/>
        </w:rPr>
        <w:t>若本产品的销售机构为兴业银行股份有限公司（以下简称“兴业银行”），鉴于兴业银行是产品管理人的关联方，尽管兴业银行已建立健全关联方产品销售管理制度，但上述关联关系仍可能产生不利影响和投资风险，进而可能影响投资者的利益。</w:t>
      </w:r>
    </w:p>
    <w:p w14:paraId="566CA4D0">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14:paraId="3EE34A9B">
      <w:pPr>
        <w:widowControl/>
        <w:jc w:val="left"/>
        <w:rPr>
          <w:rFonts w:ascii="宋体" w:hAnsi="宋体"/>
          <w:color w:val="000000"/>
          <w:kern w:val="0"/>
          <w:sz w:val="18"/>
          <w:szCs w:val="18"/>
        </w:rPr>
      </w:pPr>
      <w:r>
        <w:rPr>
          <w:rFonts w:hAnsi="宋体"/>
          <w:sz w:val="18"/>
          <w:szCs w:val="18"/>
        </w:rPr>
        <w:br w:type="page"/>
      </w:r>
    </w:p>
    <w:tbl>
      <w:tblPr>
        <w:tblStyle w:val="25"/>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14:paraId="20DFE60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14:paraId="7EE87680">
            <w:pPr>
              <w:spacing w:line="280" w:lineRule="atLeast"/>
              <w:ind w:firstLine="422"/>
              <w:jc w:val="center"/>
              <w:rPr>
                <w:rFonts w:ascii="宋体" w:hAnsi="宋体" w:cs="Arial"/>
                <w:b/>
                <w:szCs w:val="21"/>
              </w:rPr>
            </w:pPr>
            <w:r>
              <w:rPr>
                <w:rFonts w:hint="eastAsia" w:ascii="宋体" w:hAnsi="宋体" w:cs="Arial"/>
                <w:b/>
                <w:szCs w:val="21"/>
              </w:rPr>
              <w:t>投资者确认栏</w:t>
            </w:r>
          </w:p>
          <w:p w14:paraId="6D7E3D62">
            <w:pPr>
              <w:spacing w:line="360" w:lineRule="auto"/>
              <w:ind w:firstLine="361"/>
              <w:rPr>
                <w:b/>
                <w:sz w:val="18"/>
                <w:szCs w:val="18"/>
              </w:rPr>
            </w:pPr>
          </w:p>
        </w:tc>
      </w:tr>
      <w:tr w14:paraId="1A1857C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14:paraId="4A4B6FEC">
            <w:pPr>
              <w:spacing w:line="360" w:lineRule="auto"/>
              <w:jc w:val="left"/>
              <w:rPr>
                <w:b/>
                <w:sz w:val="18"/>
                <w:szCs w:val="18"/>
              </w:rPr>
            </w:pPr>
            <w:r>
              <w:rPr>
                <w:rFonts w:hint="eastAsia"/>
                <w:b/>
                <w:sz w:val="18"/>
                <w:szCs w:val="18"/>
              </w:rPr>
              <w:t>个人投资者适用</w:t>
            </w:r>
          </w:p>
        </w:tc>
        <w:tc>
          <w:tcPr>
            <w:tcW w:w="7371" w:type="dxa"/>
          </w:tcPr>
          <w:p w14:paraId="11CCC9D6">
            <w:pPr>
              <w:spacing w:line="360" w:lineRule="auto"/>
              <w:ind w:firstLine="360"/>
              <w:jc w:val="left"/>
              <w:rPr>
                <w:sz w:val="18"/>
                <w:szCs w:val="18"/>
              </w:rPr>
            </w:pPr>
            <w:r>
              <w:rPr>
                <w:rFonts w:hint="eastAsia"/>
                <w:sz w:val="18"/>
                <w:szCs w:val="18"/>
              </w:rPr>
              <w:t>投资者（</w:t>
            </w:r>
            <w:r>
              <w:rPr>
                <w:sz w:val="18"/>
                <w:szCs w:val="18"/>
              </w:rPr>
              <w:t>签名/</w:t>
            </w:r>
            <w:r>
              <w:rPr>
                <w:rFonts w:hint="eastAsia"/>
                <w:sz w:val="18"/>
                <w:szCs w:val="18"/>
              </w:rPr>
              <w:t>线上确认）：</w:t>
            </w:r>
          </w:p>
          <w:p w14:paraId="02F66F3E">
            <w:pPr>
              <w:spacing w:line="360" w:lineRule="auto"/>
              <w:ind w:firstLine="361"/>
              <w:jc w:val="left"/>
              <w:rPr>
                <w:b/>
                <w:sz w:val="18"/>
                <w:szCs w:val="18"/>
              </w:rPr>
            </w:pPr>
          </w:p>
          <w:p w14:paraId="60B94AC4">
            <w:pPr>
              <w:spacing w:line="360" w:lineRule="auto"/>
              <w:ind w:firstLine="360"/>
              <w:jc w:val="left"/>
              <w:rPr>
                <w:sz w:val="18"/>
                <w:szCs w:val="18"/>
              </w:rPr>
            </w:pPr>
            <w:r>
              <w:rPr>
                <w:rFonts w:hint="eastAsia"/>
                <w:sz w:val="18"/>
                <w:szCs w:val="18"/>
              </w:rPr>
              <w:t>日期：</w:t>
            </w:r>
          </w:p>
        </w:tc>
      </w:tr>
      <w:tr w14:paraId="0B6D03E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14:paraId="1F5CA37E">
            <w:pPr>
              <w:spacing w:line="360" w:lineRule="auto"/>
              <w:jc w:val="left"/>
              <w:rPr>
                <w:b/>
                <w:sz w:val="18"/>
                <w:szCs w:val="18"/>
              </w:rPr>
            </w:pPr>
            <w:r>
              <w:rPr>
                <w:rFonts w:hint="eastAsia"/>
                <w:b/>
                <w:sz w:val="18"/>
                <w:szCs w:val="18"/>
              </w:rPr>
              <w:t>机构投资者适用</w:t>
            </w:r>
          </w:p>
        </w:tc>
        <w:tc>
          <w:tcPr>
            <w:tcW w:w="7371" w:type="dxa"/>
          </w:tcPr>
          <w:p w14:paraId="21AD804C">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rFonts w:cs="Arial"/>
                <w:sz w:val="18"/>
                <w:szCs w:val="18"/>
              </w:rPr>
              <w:t>/</w:t>
            </w:r>
            <w:r>
              <w:rPr>
                <w:rFonts w:hint="eastAsia" w:cs="Arial"/>
                <w:sz w:val="18"/>
                <w:szCs w:val="18"/>
              </w:rPr>
              <w:t>线上确认）：</w:t>
            </w:r>
          </w:p>
          <w:p w14:paraId="63E93F81">
            <w:pPr>
              <w:tabs>
                <w:tab w:val="left" w:pos="5609"/>
              </w:tabs>
              <w:spacing w:line="360" w:lineRule="auto"/>
              <w:ind w:firstLine="360"/>
              <w:jc w:val="left"/>
              <w:rPr>
                <w:rFonts w:cs="Arial"/>
                <w:sz w:val="18"/>
                <w:szCs w:val="18"/>
              </w:rPr>
            </w:pPr>
            <w:r>
              <w:rPr>
                <w:rFonts w:cs="Arial"/>
                <w:sz w:val="18"/>
                <w:szCs w:val="18"/>
              </w:rPr>
              <w:tab/>
            </w:r>
          </w:p>
          <w:p w14:paraId="15BD937E">
            <w:pPr>
              <w:spacing w:line="360" w:lineRule="auto"/>
              <w:ind w:firstLine="360"/>
              <w:jc w:val="left"/>
              <w:rPr>
                <w:rFonts w:cs="Arial"/>
                <w:sz w:val="18"/>
                <w:szCs w:val="18"/>
              </w:rPr>
            </w:pPr>
            <w:r>
              <w:rPr>
                <w:rFonts w:hint="eastAsia" w:cs="Arial"/>
                <w:sz w:val="18"/>
                <w:szCs w:val="18"/>
              </w:rPr>
              <w:t>投资者法定代表人或授权代理人（签名</w:t>
            </w:r>
            <w:r>
              <w:rPr>
                <w:rFonts w:cs="Arial"/>
                <w:sz w:val="18"/>
                <w:szCs w:val="18"/>
              </w:rPr>
              <w:t>/</w:t>
            </w:r>
            <w:r>
              <w:rPr>
                <w:rFonts w:hint="eastAsia" w:cs="Arial"/>
                <w:sz w:val="18"/>
                <w:szCs w:val="18"/>
              </w:rPr>
              <w:t>盖章</w:t>
            </w:r>
            <w:r>
              <w:rPr>
                <w:rFonts w:cs="Arial"/>
                <w:sz w:val="18"/>
                <w:szCs w:val="18"/>
              </w:rPr>
              <w:t>/</w:t>
            </w:r>
            <w:r>
              <w:rPr>
                <w:rFonts w:hint="eastAsia" w:cs="Arial"/>
                <w:sz w:val="18"/>
                <w:szCs w:val="18"/>
              </w:rPr>
              <w:t>线上确认）：</w:t>
            </w:r>
          </w:p>
          <w:p w14:paraId="0782CF58">
            <w:pPr>
              <w:spacing w:line="360" w:lineRule="auto"/>
              <w:ind w:firstLine="360"/>
              <w:jc w:val="left"/>
              <w:rPr>
                <w:sz w:val="18"/>
                <w:szCs w:val="18"/>
              </w:rPr>
            </w:pPr>
            <w:r>
              <w:rPr>
                <w:rFonts w:hint="eastAsia"/>
                <w:sz w:val="18"/>
                <w:szCs w:val="18"/>
              </w:rPr>
              <w:t>日期：</w:t>
            </w:r>
          </w:p>
        </w:tc>
      </w:tr>
    </w:tbl>
    <w:p w14:paraId="08B178B9">
      <w:pPr>
        <w:spacing w:line="360" w:lineRule="auto"/>
        <w:jc w:val="left"/>
        <w:rPr>
          <w:b/>
          <w:bCs/>
        </w:rPr>
      </w:pPr>
      <w:r>
        <w:rPr>
          <w:rFonts w:hint="eastAsia" w:ascii="宋体" w:hAnsi="宋体"/>
          <w:b/>
          <w:bCs/>
          <w:sz w:val="18"/>
          <w:szCs w:val="18"/>
        </w:rPr>
        <w:t>（本《产品说明书》</w:t>
      </w:r>
      <w:r>
        <w:rPr>
          <w:rFonts w:hint="eastAsia" w:ascii="宋体" w:hAnsi="宋体" w:cs="Arial"/>
          <w:b/>
          <w:bCs/>
          <w:sz w:val="18"/>
          <w:szCs w:val="18"/>
        </w:rPr>
        <w:t>共有三份</w:t>
      </w:r>
      <w:r>
        <w:rPr>
          <w:rFonts w:ascii="宋体" w:hAnsi="宋体" w:cs="Arial"/>
          <w:b/>
          <w:bCs/>
          <w:sz w:val="18"/>
          <w:szCs w:val="18"/>
        </w:rPr>
        <w:t>签署</w:t>
      </w:r>
      <w:r>
        <w:rPr>
          <w:rFonts w:hint="eastAsia" w:ascii="宋体" w:hAnsi="宋体" w:cs="Arial"/>
          <w:b/>
          <w:bCs/>
          <w:sz w:val="18"/>
          <w:szCs w:val="18"/>
        </w:rPr>
        <w:t>文本，第一联销售机构留存，第二联投资者留存，第三联产品管理人留存</w:t>
      </w:r>
      <w:r>
        <w:rPr>
          <w:rFonts w:hint="eastAsia" w:ascii="宋体" w:hAnsi="宋体"/>
          <w:b/>
          <w:bCs/>
          <w:sz w:val="18"/>
          <w:szCs w:val="18"/>
        </w:rPr>
        <w:t>。）</w:t>
      </w:r>
    </w:p>
    <w:p w14:paraId="0871ACEF">
      <w:pPr>
        <w:pStyle w:val="34"/>
        <w:spacing w:line="360" w:lineRule="auto"/>
        <w:rPr>
          <w:rFonts w:hAnsi="宋体"/>
          <w:sz w:val="18"/>
          <w:szCs w:val="18"/>
        </w:rPr>
      </w:pPr>
    </w:p>
    <w:sectPr>
      <w:headerReference r:id="rId3" w:type="default"/>
      <w:footerReference r:id="rId4" w:type="default"/>
      <w:pgSz w:w="11906" w:h="16838"/>
      <w:pgMar w:top="1276" w:right="1800" w:bottom="1418" w:left="1800" w:header="567" w:footer="850"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6A2DD">
    <w:pPr>
      <w:pStyle w:val="14"/>
      <w:jc w:val="center"/>
      <w:rPr>
        <w:kern w:val="0"/>
        <w:szCs w:val="21"/>
      </w:rP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2BCF9">
    <w:pPr>
      <w:pStyle w:val="15"/>
      <w:jc w:val="right"/>
      <w:rPr>
        <w:rFonts w:ascii="Times New Roman" w:hAnsi="Times New Roman"/>
        <w:b/>
      </w:rPr>
    </w:pPr>
    <w:r>
      <w:rPr>
        <w:rFonts w:hint="eastAsia" w:ascii="Times New Roman" w:hAnsi="Times New Roman" w:cs="Times New Roman"/>
        <w:b/>
        <w:szCs w:val="20"/>
      </w:rPr>
      <w:t xml:space="preserve"> </w:t>
    </w:r>
    <w:r>
      <w:rPr>
        <w:rFonts w:hint="eastAsia" w:ascii="Times New Roman" w:hAnsi="Times New Roman"/>
        <w:b/>
      </w:rPr>
      <w:t>产品说明书</w:t>
    </w:r>
  </w:p>
  <w:p w14:paraId="056BFC22">
    <w:pPr>
      <w:pStyle w:val="15"/>
      <w:jc w:val="right"/>
      <w:rPr>
        <w:rFonts w:ascii="Times New Roman" w:hAnsi="Times New Roman"/>
        <w:b/>
      </w:rPr>
    </w:pPr>
    <w:r>
      <w:rPr>
        <w:rFonts w:hint="eastAsia" w:ascii="Times New Roman" w:hAnsi="Times New Roman"/>
        <w:b/>
      </w:rPr>
      <w:t>注：本文件由兴银理财有限责任公司统一编制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singleLevel"/>
    <w:tmpl w:val="0000000A"/>
    <w:lvl w:ilvl="0" w:tentative="0">
      <w:start w:val="1"/>
      <w:numFmt w:val="bullet"/>
      <w:pStyle w:val="72"/>
      <w:lvlText w:val=""/>
      <w:lvlJc w:val="left"/>
      <w:pPr>
        <w:tabs>
          <w:tab w:val="left" w:pos="360"/>
        </w:tabs>
        <w:ind w:left="360" w:hanging="360"/>
      </w:pPr>
      <w:rPr>
        <w:rFonts w:hint="default" w:ascii="Symbol" w:hAnsi="Symbol"/>
        <w:color w:val="auto"/>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dit="readOnly" w:enforcement="1" w:cryptProviderType="rsaFull" w:cryptAlgorithmClass="hash" w:cryptAlgorithmType="typeAny" w:cryptAlgorithmSid="4" w:cryptSpinCount="0" w:hash="4/3uEv81SdkxXYgxtsxLi6czMCY=" w:salt="Ds8Ih1h2WjHC/qN/eQt0cg=="/>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IwNTljODZlNmMxN2IxODkyNGQ0MzYwYjkyOGU4YWIifQ=="/>
  </w:docVars>
  <w:rsids>
    <w:rsidRoot w:val="006E7124"/>
    <w:rsid w:val="0000208C"/>
    <w:rsid w:val="00002480"/>
    <w:rsid w:val="0001202B"/>
    <w:rsid w:val="000124BB"/>
    <w:rsid w:val="00014A51"/>
    <w:rsid w:val="00014CFA"/>
    <w:rsid w:val="000160F8"/>
    <w:rsid w:val="00020E26"/>
    <w:rsid w:val="00022093"/>
    <w:rsid w:val="000240C1"/>
    <w:rsid w:val="0002421F"/>
    <w:rsid w:val="00024B59"/>
    <w:rsid w:val="00024D52"/>
    <w:rsid w:val="000257FD"/>
    <w:rsid w:val="00026801"/>
    <w:rsid w:val="0002771C"/>
    <w:rsid w:val="000307FF"/>
    <w:rsid w:val="00030826"/>
    <w:rsid w:val="000310FD"/>
    <w:rsid w:val="00033D3E"/>
    <w:rsid w:val="000360AD"/>
    <w:rsid w:val="00037A51"/>
    <w:rsid w:val="0004119D"/>
    <w:rsid w:val="0004124F"/>
    <w:rsid w:val="00042C76"/>
    <w:rsid w:val="00042CE7"/>
    <w:rsid w:val="00044823"/>
    <w:rsid w:val="00045941"/>
    <w:rsid w:val="00050766"/>
    <w:rsid w:val="0005088E"/>
    <w:rsid w:val="00051D28"/>
    <w:rsid w:val="00051DE2"/>
    <w:rsid w:val="00055773"/>
    <w:rsid w:val="000565A5"/>
    <w:rsid w:val="0005743B"/>
    <w:rsid w:val="00057BC6"/>
    <w:rsid w:val="0006031B"/>
    <w:rsid w:val="00061C70"/>
    <w:rsid w:val="00062695"/>
    <w:rsid w:val="000629DD"/>
    <w:rsid w:val="00063B03"/>
    <w:rsid w:val="000705EE"/>
    <w:rsid w:val="00070857"/>
    <w:rsid w:val="00073A90"/>
    <w:rsid w:val="000747D8"/>
    <w:rsid w:val="0007760F"/>
    <w:rsid w:val="00077A54"/>
    <w:rsid w:val="00077C13"/>
    <w:rsid w:val="00080277"/>
    <w:rsid w:val="0008037A"/>
    <w:rsid w:val="00081DC7"/>
    <w:rsid w:val="000826C9"/>
    <w:rsid w:val="00085DD5"/>
    <w:rsid w:val="0009006A"/>
    <w:rsid w:val="0009086F"/>
    <w:rsid w:val="00092A5F"/>
    <w:rsid w:val="00094CA6"/>
    <w:rsid w:val="00095235"/>
    <w:rsid w:val="00097047"/>
    <w:rsid w:val="000A0882"/>
    <w:rsid w:val="000A0CC9"/>
    <w:rsid w:val="000A0DC8"/>
    <w:rsid w:val="000A1E0C"/>
    <w:rsid w:val="000A3063"/>
    <w:rsid w:val="000A45C6"/>
    <w:rsid w:val="000A51DD"/>
    <w:rsid w:val="000A5A4A"/>
    <w:rsid w:val="000A5AAB"/>
    <w:rsid w:val="000B378B"/>
    <w:rsid w:val="000B41F8"/>
    <w:rsid w:val="000B6819"/>
    <w:rsid w:val="000B7F67"/>
    <w:rsid w:val="000C31AC"/>
    <w:rsid w:val="000C3B81"/>
    <w:rsid w:val="000C69CB"/>
    <w:rsid w:val="000C6BF4"/>
    <w:rsid w:val="000C7C96"/>
    <w:rsid w:val="000D01BB"/>
    <w:rsid w:val="000D0A91"/>
    <w:rsid w:val="000D0C3A"/>
    <w:rsid w:val="000D10B1"/>
    <w:rsid w:val="000D1473"/>
    <w:rsid w:val="000D19CF"/>
    <w:rsid w:val="000D2623"/>
    <w:rsid w:val="000D3E2A"/>
    <w:rsid w:val="000D4DAE"/>
    <w:rsid w:val="000D5369"/>
    <w:rsid w:val="000D548F"/>
    <w:rsid w:val="000D591B"/>
    <w:rsid w:val="000E008C"/>
    <w:rsid w:val="000E181B"/>
    <w:rsid w:val="000E18C8"/>
    <w:rsid w:val="000E4365"/>
    <w:rsid w:val="000E4E32"/>
    <w:rsid w:val="000E5A74"/>
    <w:rsid w:val="000E798C"/>
    <w:rsid w:val="000E7BB9"/>
    <w:rsid w:val="000F09FA"/>
    <w:rsid w:val="000F4322"/>
    <w:rsid w:val="000F556F"/>
    <w:rsid w:val="000F7FB5"/>
    <w:rsid w:val="00100295"/>
    <w:rsid w:val="00100789"/>
    <w:rsid w:val="00100D6E"/>
    <w:rsid w:val="00103221"/>
    <w:rsid w:val="0010351A"/>
    <w:rsid w:val="001048D9"/>
    <w:rsid w:val="00104FAF"/>
    <w:rsid w:val="0011092D"/>
    <w:rsid w:val="00111430"/>
    <w:rsid w:val="00112922"/>
    <w:rsid w:val="00112BE0"/>
    <w:rsid w:val="001139C8"/>
    <w:rsid w:val="001152F4"/>
    <w:rsid w:val="001157E6"/>
    <w:rsid w:val="00115A4C"/>
    <w:rsid w:val="00121A98"/>
    <w:rsid w:val="00122AA4"/>
    <w:rsid w:val="00122E28"/>
    <w:rsid w:val="001232D0"/>
    <w:rsid w:val="00124098"/>
    <w:rsid w:val="0012639A"/>
    <w:rsid w:val="00127FAE"/>
    <w:rsid w:val="00134EC8"/>
    <w:rsid w:val="00140E17"/>
    <w:rsid w:val="00140FD0"/>
    <w:rsid w:val="00142E86"/>
    <w:rsid w:val="00144336"/>
    <w:rsid w:val="00144A06"/>
    <w:rsid w:val="00144E84"/>
    <w:rsid w:val="00146F91"/>
    <w:rsid w:val="001507DF"/>
    <w:rsid w:val="001527E9"/>
    <w:rsid w:val="00153415"/>
    <w:rsid w:val="001547CA"/>
    <w:rsid w:val="00154F9C"/>
    <w:rsid w:val="001562FA"/>
    <w:rsid w:val="0016331D"/>
    <w:rsid w:val="00163655"/>
    <w:rsid w:val="00163854"/>
    <w:rsid w:val="00165A9A"/>
    <w:rsid w:val="00167B0D"/>
    <w:rsid w:val="00171033"/>
    <w:rsid w:val="001715BB"/>
    <w:rsid w:val="00172BBF"/>
    <w:rsid w:val="0017394A"/>
    <w:rsid w:val="00174651"/>
    <w:rsid w:val="0017488D"/>
    <w:rsid w:val="00175F68"/>
    <w:rsid w:val="00176589"/>
    <w:rsid w:val="001768DA"/>
    <w:rsid w:val="00176C88"/>
    <w:rsid w:val="00180376"/>
    <w:rsid w:val="001822B0"/>
    <w:rsid w:val="0018230F"/>
    <w:rsid w:val="001844D6"/>
    <w:rsid w:val="0018459A"/>
    <w:rsid w:val="00186521"/>
    <w:rsid w:val="00187F37"/>
    <w:rsid w:val="0019010B"/>
    <w:rsid w:val="00190633"/>
    <w:rsid w:val="0019071D"/>
    <w:rsid w:val="00190B9A"/>
    <w:rsid w:val="0019134D"/>
    <w:rsid w:val="0019285E"/>
    <w:rsid w:val="00192C78"/>
    <w:rsid w:val="00194E1F"/>
    <w:rsid w:val="0019519C"/>
    <w:rsid w:val="0019545E"/>
    <w:rsid w:val="001957A5"/>
    <w:rsid w:val="00196E62"/>
    <w:rsid w:val="001A0033"/>
    <w:rsid w:val="001A141C"/>
    <w:rsid w:val="001A352E"/>
    <w:rsid w:val="001A434D"/>
    <w:rsid w:val="001A5D11"/>
    <w:rsid w:val="001A6633"/>
    <w:rsid w:val="001B218F"/>
    <w:rsid w:val="001B21AE"/>
    <w:rsid w:val="001B3B95"/>
    <w:rsid w:val="001C31CB"/>
    <w:rsid w:val="001C41C7"/>
    <w:rsid w:val="001C5E54"/>
    <w:rsid w:val="001C7184"/>
    <w:rsid w:val="001C730C"/>
    <w:rsid w:val="001C770D"/>
    <w:rsid w:val="001C7B1B"/>
    <w:rsid w:val="001D03C8"/>
    <w:rsid w:val="001D06D0"/>
    <w:rsid w:val="001D1C72"/>
    <w:rsid w:val="001D1D5B"/>
    <w:rsid w:val="001D2824"/>
    <w:rsid w:val="001D3E8B"/>
    <w:rsid w:val="001D4AC9"/>
    <w:rsid w:val="001D4BC1"/>
    <w:rsid w:val="001D570A"/>
    <w:rsid w:val="001D688E"/>
    <w:rsid w:val="001E14FD"/>
    <w:rsid w:val="001E291D"/>
    <w:rsid w:val="001E461E"/>
    <w:rsid w:val="001E487F"/>
    <w:rsid w:val="001E54CE"/>
    <w:rsid w:val="001E61BD"/>
    <w:rsid w:val="001E6C14"/>
    <w:rsid w:val="001E70FE"/>
    <w:rsid w:val="001E77D6"/>
    <w:rsid w:val="001F00E4"/>
    <w:rsid w:val="001F4671"/>
    <w:rsid w:val="001F6BB0"/>
    <w:rsid w:val="001F7B81"/>
    <w:rsid w:val="001F7E0A"/>
    <w:rsid w:val="00201415"/>
    <w:rsid w:val="0020141D"/>
    <w:rsid w:val="00204063"/>
    <w:rsid w:val="0020563F"/>
    <w:rsid w:val="0020668E"/>
    <w:rsid w:val="00211510"/>
    <w:rsid w:val="002126B6"/>
    <w:rsid w:val="00214771"/>
    <w:rsid w:val="0021477B"/>
    <w:rsid w:val="002160B9"/>
    <w:rsid w:val="0021611E"/>
    <w:rsid w:val="00216882"/>
    <w:rsid w:val="002168CF"/>
    <w:rsid w:val="00217789"/>
    <w:rsid w:val="00220D74"/>
    <w:rsid w:val="002213EA"/>
    <w:rsid w:val="00223351"/>
    <w:rsid w:val="00223B5B"/>
    <w:rsid w:val="00224505"/>
    <w:rsid w:val="002265AA"/>
    <w:rsid w:val="00226925"/>
    <w:rsid w:val="00226E60"/>
    <w:rsid w:val="00227359"/>
    <w:rsid w:val="00231FC0"/>
    <w:rsid w:val="00233392"/>
    <w:rsid w:val="002366D2"/>
    <w:rsid w:val="00242CDB"/>
    <w:rsid w:val="0024456C"/>
    <w:rsid w:val="0024625D"/>
    <w:rsid w:val="00247F2A"/>
    <w:rsid w:val="002509C7"/>
    <w:rsid w:val="00251975"/>
    <w:rsid w:val="00252788"/>
    <w:rsid w:val="002533A3"/>
    <w:rsid w:val="00253B8C"/>
    <w:rsid w:val="00254D9A"/>
    <w:rsid w:val="00255373"/>
    <w:rsid w:val="002553DF"/>
    <w:rsid w:val="0025557C"/>
    <w:rsid w:val="00255756"/>
    <w:rsid w:val="0025790B"/>
    <w:rsid w:val="00264630"/>
    <w:rsid w:val="002653AC"/>
    <w:rsid w:val="00265722"/>
    <w:rsid w:val="002657CF"/>
    <w:rsid w:val="00266037"/>
    <w:rsid w:val="00266978"/>
    <w:rsid w:val="00266DAB"/>
    <w:rsid w:val="00271878"/>
    <w:rsid w:val="00272C40"/>
    <w:rsid w:val="00273F65"/>
    <w:rsid w:val="00274BFD"/>
    <w:rsid w:val="00275526"/>
    <w:rsid w:val="00275757"/>
    <w:rsid w:val="00281B9A"/>
    <w:rsid w:val="002826EB"/>
    <w:rsid w:val="00284D4C"/>
    <w:rsid w:val="00290893"/>
    <w:rsid w:val="0029197D"/>
    <w:rsid w:val="00293329"/>
    <w:rsid w:val="002A1894"/>
    <w:rsid w:val="002A2964"/>
    <w:rsid w:val="002A3DA0"/>
    <w:rsid w:val="002A6688"/>
    <w:rsid w:val="002B0A68"/>
    <w:rsid w:val="002B2349"/>
    <w:rsid w:val="002B389F"/>
    <w:rsid w:val="002B4AAF"/>
    <w:rsid w:val="002B5421"/>
    <w:rsid w:val="002B75A8"/>
    <w:rsid w:val="002C036C"/>
    <w:rsid w:val="002C063A"/>
    <w:rsid w:val="002C0CF5"/>
    <w:rsid w:val="002C3DA6"/>
    <w:rsid w:val="002C3DD6"/>
    <w:rsid w:val="002C446D"/>
    <w:rsid w:val="002C6117"/>
    <w:rsid w:val="002C6DB5"/>
    <w:rsid w:val="002D0829"/>
    <w:rsid w:val="002D3AB7"/>
    <w:rsid w:val="002D3AEF"/>
    <w:rsid w:val="002D6AFD"/>
    <w:rsid w:val="002D7737"/>
    <w:rsid w:val="002E0FFD"/>
    <w:rsid w:val="002E134B"/>
    <w:rsid w:val="002E25FC"/>
    <w:rsid w:val="002E393C"/>
    <w:rsid w:val="002E5F4C"/>
    <w:rsid w:val="002E6721"/>
    <w:rsid w:val="002E7C23"/>
    <w:rsid w:val="002F29C4"/>
    <w:rsid w:val="002F389F"/>
    <w:rsid w:val="002F45BC"/>
    <w:rsid w:val="002F4C49"/>
    <w:rsid w:val="00301106"/>
    <w:rsid w:val="003029FF"/>
    <w:rsid w:val="0030325C"/>
    <w:rsid w:val="00304D9D"/>
    <w:rsid w:val="00306DA6"/>
    <w:rsid w:val="0031156D"/>
    <w:rsid w:val="003122D5"/>
    <w:rsid w:val="00313E17"/>
    <w:rsid w:val="00314DBE"/>
    <w:rsid w:val="00315680"/>
    <w:rsid w:val="00320153"/>
    <w:rsid w:val="003224C7"/>
    <w:rsid w:val="003229E9"/>
    <w:rsid w:val="00331380"/>
    <w:rsid w:val="00331423"/>
    <w:rsid w:val="00331AA1"/>
    <w:rsid w:val="00332367"/>
    <w:rsid w:val="00333006"/>
    <w:rsid w:val="0033357B"/>
    <w:rsid w:val="00335A6D"/>
    <w:rsid w:val="003363E0"/>
    <w:rsid w:val="00336C03"/>
    <w:rsid w:val="0033710A"/>
    <w:rsid w:val="00337172"/>
    <w:rsid w:val="00337AF2"/>
    <w:rsid w:val="00337EC3"/>
    <w:rsid w:val="003405D3"/>
    <w:rsid w:val="00341DFC"/>
    <w:rsid w:val="003444E9"/>
    <w:rsid w:val="003509B2"/>
    <w:rsid w:val="00350B80"/>
    <w:rsid w:val="0035109F"/>
    <w:rsid w:val="00351B3C"/>
    <w:rsid w:val="0035299D"/>
    <w:rsid w:val="00356734"/>
    <w:rsid w:val="00356F2E"/>
    <w:rsid w:val="003601A7"/>
    <w:rsid w:val="00361109"/>
    <w:rsid w:val="00363191"/>
    <w:rsid w:val="00363504"/>
    <w:rsid w:val="0036433E"/>
    <w:rsid w:val="003669E3"/>
    <w:rsid w:val="00370696"/>
    <w:rsid w:val="00371546"/>
    <w:rsid w:val="003727DA"/>
    <w:rsid w:val="00373305"/>
    <w:rsid w:val="003745A5"/>
    <w:rsid w:val="00375BC6"/>
    <w:rsid w:val="00380DB4"/>
    <w:rsid w:val="00381A67"/>
    <w:rsid w:val="003823A6"/>
    <w:rsid w:val="003838B9"/>
    <w:rsid w:val="00383D2C"/>
    <w:rsid w:val="0038516F"/>
    <w:rsid w:val="00387E86"/>
    <w:rsid w:val="00391BBC"/>
    <w:rsid w:val="00392F32"/>
    <w:rsid w:val="00396C37"/>
    <w:rsid w:val="00396E72"/>
    <w:rsid w:val="003A3197"/>
    <w:rsid w:val="003A42AD"/>
    <w:rsid w:val="003A430B"/>
    <w:rsid w:val="003A5032"/>
    <w:rsid w:val="003B00EC"/>
    <w:rsid w:val="003B1841"/>
    <w:rsid w:val="003B32A0"/>
    <w:rsid w:val="003B343A"/>
    <w:rsid w:val="003B600B"/>
    <w:rsid w:val="003B72A3"/>
    <w:rsid w:val="003C2C6C"/>
    <w:rsid w:val="003C2FD0"/>
    <w:rsid w:val="003C3843"/>
    <w:rsid w:val="003C4A62"/>
    <w:rsid w:val="003C4CEB"/>
    <w:rsid w:val="003C51FE"/>
    <w:rsid w:val="003C56B8"/>
    <w:rsid w:val="003C5C1E"/>
    <w:rsid w:val="003C6DEC"/>
    <w:rsid w:val="003C7EAF"/>
    <w:rsid w:val="003D26D0"/>
    <w:rsid w:val="003D3411"/>
    <w:rsid w:val="003D5ED1"/>
    <w:rsid w:val="003D63E6"/>
    <w:rsid w:val="003E2F07"/>
    <w:rsid w:val="003E31AA"/>
    <w:rsid w:val="003E3D00"/>
    <w:rsid w:val="003F4B74"/>
    <w:rsid w:val="00400144"/>
    <w:rsid w:val="00400D54"/>
    <w:rsid w:val="0040151D"/>
    <w:rsid w:val="0040285C"/>
    <w:rsid w:val="004043E5"/>
    <w:rsid w:val="00404A76"/>
    <w:rsid w:val="00404C4F"/>
    <w:rsid w:val="00406C36"/>
    <w:rsid w:val="0040736E"/>
    <w:rsid w:val="00407912"/>
    <w:rsid w:val="00410860"/>
    <w:rsid w:val="004111DE"/>
    <w:rsid w:val="00411594"/>
    <w:rsid w:val="004134C2"/>
    <w:rsid w:val="00416AC9"/>
    <w:rsid w:val="00416CB0"/>
    <w:rsid w:val="00420268"/>
    <w:rsid w:val="0042292D"/>
    <w:rsid w:val="00422B14"/>
    <w:rsid w:val="00424562"/>
    <w:rsid w:val="0042456A"/>
    <w:rsid w:val="004259CB"/>
    <w:rsid w:val="00426CB5"/>
    <w:rsid w:val="0042700C"/>
    <w:rsid w:val="00430510"/>
    <w:rsid w:val="00430DF1"/>
    <w:rsid w:val="00434DA3"/>
    <w:rsid w:val="00436184"/>
    <w:rsid w:val="004365C7"/>
    <w:rsid w:val="004369A7"/>
    <w:rsid w:val="0043725F"/>
    <w:rsid w:val="00440E4C"/>
    <w:rsid w:val="00441309"/>
    <w:rsid w:val="00441A1F"/>
    <w:rsid w:val="00441C87"/>
    <w:rsid w:val="0044275F"/>
    <w:rsid w:val="00444B08"/>
    <w:rsid w:val="00444C05"/>
    <w:rsid w:val="00444E95"/>
    <w:rsid w:val="004451F2"/>
    <w:rsid w:val="00447A83"/>
    <w:rsid w:val="00450AE7"/>
    <w:rsid w:val="00452527"/>
    <w:rsid w:val="00453F94"/>
    <w:rsid w:val="0045405E"/>
    <w:rsid w:val="0045524D"/>
    <w:rsid w:val="00455720"/>
    <w:rsid w:val="00457B7E"/>
    <w:rsid w:val="00460E19"/>
    <w:rsid w:val="00461E0D"/>
    <w:rsid w:val="00462328"/>
    <w:rsid w:val="00462D9E"/>
    <w:rsid w:val="00466864"/>
    <w:rsid w:val="00466F57"/>
    <w:rsid w:val="004678B2"/>
    <w:rsid w:val="00467C9D"/>
    <w:rsid w:val="00470261"/>
    <w:rsid w:val="004711A9"/>
    <w:rsid w:val="00471A23"/>
    <w:rsid w:val="00471ABA"/>
    <w:rsid w:val="0047289E"/>
    <w:rsid w:val="00477510"/>
    <w:rsid w:val="00480985"/>
    <w:rsid w:val="00480CC1"/>
    <w:rsid w:val="00480FF7"/>
    <w:rsid w:val="004811BA"/>
    <w:rsid w:val="0048253E"/>
    <w:rsid w:val="00482F37"/>
    <w:rsid w:val="00483507"/>
    <w:rsid w:val="00485D45"/>
    <w:rsid w:val="00486A6C"/>
    <w:rsid w:val="00487444"/>
    <w:rsid w:val="004902E2"/>
    <w:rsid w:val="00490E3D"/>
    <w:rsid w:val="004917FC"/>
    <w:rsid w:val="00491C11"/>
    <w:rsid w:val="004922CC"/>
    <w:rsid w:val="004940D3"/>
    <w:rsid w:val="004960D3"/>
    <w:rsid w:val="00497FEC"/>
    <w:rsid w:val="004A0C4A"/>
    <w:rsid w:val="004A0D93"/>
    <w:rsid w:val="004A12AC"/>
    <w:rsid w:val="004A2354"/>
    <w:rsid w:val="004B1194"/>
    <w:rsid w:val="004B1599"/>
    <w:rsid w:val="004B3136"/>
    <w:rsid w:val="004B5526"/>
    <w:rsid w:val="004C1BF8"/>
    <w:rsid w:val="004C2000"/>
    <w:rsid w:val="004C4C0A"/>
    <w:rsid w:val="004C4C12"/>
    <w:rsid w:val="004C51D4"/>
    <w:rsid w:val="004C62FA"/>
    <w:rsid w:val="004C75D9"/>
    <w:rsid w:val="004D0C41"/>
    <w:rsid w:val="004D1CFA"/>
    <w:rsid w:val="004D2141"/>
    <w:rsid w:val="004D3932"/>
    <w:rsid w:val="004D5055"/>
    <w:rsid w:val="004D5AAF"/>
    <w:rsid w:val="004D5BE2"/>
    <w:rsid w:val="004D5E18"/>
    <w:rsid w:val="004D6163"/>
    <w:rsid w:val="004D6C75"/>
    <w:rsid w:val="004E17EB"/>
    <w:rsid w:val="004E20E1"/>
    <w:rsid w:val="004E3BD3"/>
    <w:rsid w:val="004E605C"/>
    <w:rsid w:val="004E78A6"/>
    <w:rsid w:val="004F0C90"/>
    <w:rsid w:val="004F10F4"/>
    <w:rsid w:val="004F14E2"/>
    <w:rsid w:val="004F15A3"/>
    <w:rsid w:val="004F2F63"/>
    <w:rsid w:val="004F3020"/>
    <w:rsid w:val="004F3355"/>
    <w:rsid w:val="004F45E5"/>
    <w:rsid w:val="004F483B"/>
    <w:rsid w:val="004F52DE"/>
    <w:rsid w:val="004F58A4"/>
    <w:rsid w:val="00500B33"/>
    <w:rsid w:val="0050192C"/>
    <w:rsid w:val="00502068"/>
    <w:rsid w:val="005023E9"/>
    <w:rsid w:val="005030D1"/>
    <w:rsid w:val="00503239"/>
    <w:rsid w:val="005048A9"/>
    <w:rsid w:val="00504CD2"/>
    <w:rsid w:val="0050525D"/>
    <w:rsid w:val="005058C6"/>
    <w:rsid w:val="00506FB3"/>
    <w:rsid w:val="00512B61"/>
    <w:rsid w:val="00512E3B"/>
    <w:rsid w:val="00513143"/>
    <w:rsid w:val="005131E7"/>
    <w:rsid w:val="00517C1B"/>
    <w:rsid w:val="00521905"/>
    <w:rsid w:val="00521A8A"/>
    <w:rsid w:val="0052537A"/>
    <w:rsid w:val="005261C6"/>
    <w:rsid w:val="00526A8B"/>
    <w:rsid w:val="005306F5"/>
    <w:rsid w:val="0053145D"/>
    <w:rsid w:val="0053265E"/>
    <w:rsid w:val="00534837"/>
    <w:rsid w:val="00534ED6"/>
    <w:rsid w:val="005356DD"/>
    <w:rsid w:val="0054383E"/>
    <w:rsid w:val="00544067"/>
    <w:rsid w:val="0054458D"/>
    <w:rsid w:val="00544689"/>
    <w:rsid w:val="005448AE"/>
    <w:rsid w:val="00544EBF"/>
    <w:rsid w:val="0054752F"/>
    <w:rsid w:val="005477FF"/>
    <w:rsid w:val="005514EA"/>
    <w:rsid w:val="00551E13"/>
    <w:rsid w:val="0055265D"/>
    <w:rsid w:val="00557F13"/>
    <w:rsid w:val="0056057A"/>
    <w:rsid w:val="005634A0"/>
    <w:rsid w:val="00564A34"/>
    <w:rsid w:val="00564BAA"/>
    <w:rsid w:val="005669ED"/>
    <w:rsid w:val="00571676"/>
    <w:rsid w:val="0057386A"/>
    <w:rsid w:val="005745C2"/>
    <w:rsid w:val="00575575"/>
    <w:rsid w:val="005756EF"/>
    <w:rsid w:val="00577682"/>
    <w:rsid w:val="00580472"/>
    <w:rsid w:val="00583DB2"/>
    <w:rsid w:val="0058644F"/>
    <w:rsid w:val="00586B5E"/>
    <w:rsid w:val="0058793F"/>
    <w:rsid w:val="00587E86"/>
    <w:rsid w:val="005905CC"/>
    <w:rsid w:val="0059345F"/>
    <w:rsid w:val="005942B5"/>
    <w:rsid w:val="005964FC"/>
    <w:rsid w:val="00596640"/>
    <w:rsid w:val="005A1A2E"/>
    <w:rsid w:val="005A2814"/>
    <w:rsid w:val="005A3E7B"/>
    <w:rsid w:val="005A52CE"/>
    <w:rsid w:val="005A5694"/>
    <w:rsid w:val="005A60A3"/>
    <w:rsid w:val="005B1513"/>
    <w:rsid w:val="005B1F01"/>
    <w:rsid w:val="005B3D95"/>
    <w:rsid w:val="005B45B8"/>
    <w:rsid w:val="005B6567"/>
    <w:rsid w:val="005C1011"/>
    <w:rsid w:val="005C1A4B"/>
    <w:rsid w:val="005C2C22"/>
    <w:rsid w:val="005C3351"/>
    <w:rsid w:val="005C46BB"/>
    <w:rsid w:val="005C6C9D"/>
    <w:rsid w:val="005D0EC6"/>
    <w:rsid w:val="005D2A2A"/>
    <w:rsid w:val="005D30EC"/>
    <w:rsid w:val="005D3EBA"/>
    <w:rsid w:val="005D3F7B"/>
    <w:rsid w:val="005D3F83"/>
    <w:rsid w:val="005D5021"/>
    <w:rsid w:val="005D6B6D"/>
    <w:rsid w:val="005E0304"/>
    <w:rsid w:val="005E1F5B"/>
    <w:rsid w:val="005E2522"/>
    <w:rsid w:val="005E34A7"/>
    <w:rsid w:val="005E3ECC"/>
    <w:rsid w:val="005E5B83"/>
    <w:rsid w:val="005E6FB7"/>
    <w:rsid w:val="005F0064"/>
    <w:rsid w:val="005F2F17"/>
    <w:rsid w:val="005F30D3"/>
    <w:rsid w:val="005F379A"/>
    <w:rsid w:val="005F4287"/>
    <w:rsid w:val="005F469C"/>
    <w:rsid w:val="005F7FD5"/>
    <w:rsid w:val="00600FE7"/>
    <w:rsid w:val="006019D1"/>
    <w:rsid w:val="00605524"/>
    <w:rsid w:val="00605B31"/>
    <w:rsid w:val="00605C5D"/>
    <w:rsid w:val="006065FB"/>
    <w:rsid w:val="00607DDC"/>
    <w:rsid w:val="00612793"/>
    <w:rsid w:val="00612869"/>
    <w:rsid w:val="006146BA"/>
    <w:rsid w:val="00620063"/>
    <w:rsid w:val="00620D75"/>
    <w:rsid w:val="00621F2C"/>
    <w:rsid w:val="00624760"/>
    <w:rsid w:val="00624F2C"/>
    <w:rsid w:val="00625B80"/>
    <w:rsid w:val="00626BC0"/>
    <w:rsid w:val="00626E1F"/>
    <w:rsid w:val="0063051C"/>
    <w:rsid w:val="006307AD"/>
    <w:rsid w:val="00631736"/>
    <w:rsid w:val="006328AE"/>
    <w:rsid w:val="0064020E"/>
    <w:rsid w:val="0064087A"/>
    <w:rsid w:val="00644970"/>
    <w:rsid w:val="006451BF"/>
    <w:rsid w:val="006453CC"/>
    <w:rsid w:val="006468C6"/>
    <w:rsid w:val="00646E40"/>
    <w:rsid w:val="00647424"/>
    <w:rsid w:val="006476D3"/>
    <w:rsid w:val="00652FE7"/>
    <w:rsid w:val="0065431E"/>
    <w:rsid w:val="0065499A"/>
    <w:rsid w:val="00655124"/>
    <w:rsid w:val="00657909"/>
    <w:rsid w:val="006612EA"/>
    <w:rsid w:val="006617D1"/>
    <w:rsid w:val="00661C8C"/>
    <w:rsid w:val="006623D6"/>
    <w:rsid w:val="0066478A"/>
    <w:rsid w:val="0066625E"/>
    <w:rsid w:val="006676FD"/>
    <w:rsid w:val="0067005D"/>
    <w:rsid w:val="00672FF4"/>
    <w:rsid w:val="00675B54"/>
    <w:rsid w:val="006809FB"/>
    <w:rsid w:val="00682623"/>
    <w:rsid w:val="00684401"/>
    <w:rsid w:val="00684ECC"/>
    <w:rsid w:val="006856C3"/>
    <w:rsid w:val="006863E0"/>
    <w:rsid w:val="006877C1"/>
    <w:rsid w:val="00687A26"/>
    <w:rsid w:val="006904D3"/>
    <w:rsid w:val="0069132D"/>
    <w:rsid w:val="006929EA"/>
    <w:rsid w:val="00692BC9"/>
    <w:rsid w:val="0069501F"/>
    <w:rsid w:val="00695141"/>
    <w:rsid w:val="006961A8"/>
    <w:rsid w:val="00697C87"/>
    <w:rsid w:val="00697D22"/>
    <w:rsid w:val="006A1579"/>
    <w:rsid w:val="006A2FDF"/>
    <w:rsid w:val="006A4A8A"/>
    <w:rsid w:val="006A4B96"/>
    <w:rsid w:val="006A5309"/>
    <w:rsid w:val="006A5968"/>
    <w:rsid w:val="006A68DA"/>
    <w:rsid w:val="006A6C9E"/>
    <w:rsid w:val="006A7E97"/>
    <w:rsid w:val="006B3727"/>
    <w:rsid w:val="006B4BAA"/>
    <w:rsid w:val="006B5EEE"/>
    <w:rsid w:val="006B7BA8"/>
    <w:rsid w:val="006B7E76"/>
    <w:rsid w:val="006C19CF"/>
    <w:rsid w:val="006C3458"/>
    <w:rsid w:val="006C3815"/>
    <w:rsid w:val="006C4170"/>
    <w:rsid w:val="006C4848"/>
    <w:rsid w:val="006C4A05"/>
    <w:rsid w:val="006C5ACD"/>
    <w:rsid w:val="006C6369"/>
    <w:rsid w:val="006C6D81"/>
    <w:rsid w:val="006C7218"/>
    <w:rsid w:val="006C75F7"/>
    <w:rsid w:val="006C7E9B"/>
    <w:rsid w:val="006D0BDE"/>
    <w:rsid w:val="006D160E"/>
    <w:rsid w:val="006D3D10"/>
    <w:rsid w:val="006D4093"/>
    <w:rsid w:val="006D4430"/>
    <w:rsid w:val="006D586E"/>
    <w:rsid w:val="006D6C20"/>
    <w:rsid w:val="006D7C06"/>
    <w:rsid w:val="006D7D05"/>
    <w:rsid w:val="006E1A9B"/>
    <w:rsid w:val="006E2E41"/>
    <w:rsid w:val="006E5D67"/>
    <w:rsid w:val="006E6ED0"/>
    <w:rsid w:val="006E7124"/>
    <w:rsid w:val="006E7FC7"/>
    <w:rsid w:val="006F2488"/>
    <w:rsid w:val="006F356A"/>
    <w:rsid w:val="006F5923"/>
    <w:rsid w:val="006F6174"/>
    <w:rsid w:val="006F7D4D"/>
    <w:rsid w:val="0070045F"/>
    <w:rsid w:val="00701DAD"/>
    <w:rsid w:val="007048B2"/>
    <w:rsid w:val="00706406"/>
    <w:rsid w:val="00706DCA"/>
    <w:rsid w:val="00707A7B"/>
    <w:rsid w:val="007123F2"/>
    <w:rsid w:val="00712CFF"/>
    <w:rsid w:val="0071321B"/>
    <w:rsid w:val="007143E3"/>
    <w:rsid w:val="0071446F"/>
    <w:rsid w:val="00714473"/>
    <w:rsid w:val="00715C08"/>
    <w:rsid w:val="007166B2"/>
    <w:rsid w:val="00717330"/>
    <w:rsid w:val="00720D3D"/>
    <w:rsid w:val="00720E8F"/>
    <w:rsid w:val="007210F9"/>
    <w:rsid w:val="0072322A"/>
    <w:rsid w:val="00724416"/>
    <w:rsid w:val="0072773A"/>
    <w:rsid w:val="00727C00"/>
    <w:rsid w:val="007305B6"/>
    <w:rsid w:val="007319DA"/>
    <w:rsid w:val="00741F90"/>
    <w:rsid w:val="007425D7"/>
    <w:rsid w:val="00742D00"/>
    <w:rsid w:val="007431C0"/>
    <w:rsid w:val="00743AB2"/>
    <w:rsid w:val="00746AF7"/>
    <w:rsid w:val="00746FAD"/>
    <w:rsid w:val="00752FA6"/>
    <w:rsid w:val="007530BD"/>
    <w:rsid w:val="00754168"/>
    <w:rsid w:val="00755570"/>
    <w:rsid w:val="00755F45"/>
    <w:rsid w:val="00757357"/>
    <w:rsid w:val="00760BF7"/>
    <w:rsid w:val="00762022"/>
    <w:rsid w:val="007630BD"/>
    <w:rsid w:val="00763193"/>
    <w:rsid w:val="0076459F"/>
    <w:rsid w:val="00764E0B"/>
    <w:rsid w:val="00764FD2"/>
    <w:rsid w:val="007650F1"/>
    <w:rsid w:val="00765862"/>
    <w:rsid w:val="0077274B"/>
    <w:rsid w:val="00774135"/>
    <w:rsid w:val="00775691"/>
    <w:rsid w:val="00775E75"/>
    <w:rsid w:val="00780770"/>
    <w:rsid w:val="00784BFC"/>
    <w:rsid w:val="007871C4"/>
    <w:rsid w:val="0078739B"/>
    <w:rsid w:val="00794CF9"/>
    <w:rsid w:val="0079594A"/>
    <w:rsid w:val="007A104C"/>
    <w:rsid w:val="007A2250"/>
    <w:rsid w:val="007A2E91"/>
    <w:rsid w:val="007A3563"/>
    <w:rsid w:val="007A56C3"/>
    <w:rsid w:val="007A610A"/>
    <w:rsid w:val="007B095E"/>
    <w:rsid w:val="007B256F"/>
    <w:rsid w:val="007B2905"/>
    <w:rsid w:val="007B335E"/>
    <w:rsid w:val="007B3CAC"/>
    <w:rsid w:val="007B435B"/>
    <w:rsid w:val="007B7E70"/>
    <w:rsid w:val="007C0495"/>
    <w:rsid w:val="007C67CB"/>
    <w:rsid w:val="007C6C7F"/>
    <w:rsid w:val="007D115D"/>
    <w:rsid w:val="007D37FB"/>
    <w:rsid w:val="007D3AB0"/>
    <w:rsid w:val="007D3C57"/>
    <w:rsid w:val="007D5878"/>
    <w:rsid w:val="007D6324"/>
    <w:rsid w:val="007D68C9"/>
    <w:rsid w:val="007D6F94"/>
    <w:rsid w:val="007D7B84"/>
    <w:rsid w:val="007D7E7D"/>
    <w:rsid w:val="007E1F76"/>
    <w:rsid w:val="007E3453"/>
    <w:rsid w:val="007E3857"/>
    <w:rsid w:val="007E4180"/>
    <w:rsid w:val="007E4637"/>
    <w:rsid w:val="007E4A3F"/>
    <w:rsid w:val="007E6CAE"/>
    <w:rsid w:val="007E6E94"/>
    <w:rsid w:val="007E775F"/>
    <w:rsid w:val="007F0860"/>
    <w:rsid w:val="007F1299"/>
    <w:rsid w:val="007F19E2"/>
    <w:rsid w:val="007F2369"/>
    <w:rsid w:val="007F2A00"/>
    <w:rsid w:val="007F2DEA"/>
    <w:rsid w:val="007F353C"/>
    <w:rsid w:val="007F42B0"/>
    <w:rsid w:val="007F557D"/>
    <w:rsid w:val="007F5D9C"/>
    <w:rsid w:val="008002FC"/>
    <w:rsid w:val="008016A7"/>
    <w:rsid w:val="00801ED9"/>
    <w:rsid w:val="00802399"/>
    <w:rsid w:val="008027C8"/>
    <w:rsid w:val="00803922"/>
    <w:rsid w:val="00804D31"/>
    <w:rsid w:val="0080586D"/>
    <w:rsid w:val="00805A3D"/>
    <w:rsid w:val="00806DDF"/>
    <w:rsid w:val="00807174"/>
    <w:rsid w:val="00807C0F"/>
    <w:rsid w:val="00807F91"/>
    <w:rsid w:val="0081012C"/>
    <w:rsid w:val="0081039A"/>
    <w:rsid w:val="008103FD"/>
    <w:rsid w:val="00810BBC"/>
    <w:rsid w:val="0081517F"/>
    <w:rsid w:val="0081549F"/>
    <w:rsid w:val="008176FD"/>
    <w:rsid w:val="00820221"/>
    <w:rsid w:val="00820966"/>
    <w:rsid w:val="008216F7"/>
    <w:rsid w:val="00822153"/>
    <w:rsid w:val="00822FBD"/>
    <w:rsid w:val="00823AB7"/>
    <w:rsid w:val="00827169"/>
    <w:rsid w:val="00827DAF"/>
    <w:rsid w:val="00830FAF"/>
    <w:rsid w:val="00831F70"/>
    <w:rsid w:val="00833134"/>
    <w:rsid w:val="00833713"/>
    <w:rsid w:val="00833D9B"/>
    <w:rsid w:val="008340FE"/>
    <w:rsid w:val="008341F6"/>
    <w:rsid w:val="00835A40"/>
    <w:rsid w:val="00835AA0"/>
    <w:rsid w:val="00835FBF"/>
    <w:rsid w:val="00836DA8"/>
    <w:rsid w:val="00836ECE"/>
    <w:rsid w:val="0083797D"/>
    <w:rsid w:val="00840A55"/>
    <w:rsid w:val="008414B9"/>
    <w:rsid w:val="0084380A"/>
    <w:rsid w:val="00843D2E"/>
    <w:rsid w:val="00844E66"/>
    <w:rsid w:val="00847CD5"/>
    <w:rsid w:val="00850B2A"/>
    <w:rsid w:val="00850F7C"/>
    <w:rsid w:val="0085322F"/>
    <w:rsid w:val="0085408C"/>
    <w:rsid w:val="0085557B"/>
    <w:rsid w:val="00856A09"/>
    <w:rsid w:val="00856B4C"/>
    <w:rsid w:val="00856BBC"/>
    <w:rsid w:val="00857149"/>
    <w:rsid w:val="00860A39"/>
    <w:rsid w:val="00861B3E"/>
    <w:rsid w:val="00862A70"/>
    <w:rsid w:val="008655A1"/>
    <w:rsid w:val="008666DD"/>
    <w:rsid w:val="00866CCD"/>
    <w:rsid w:val="00870018"/>
    <w:rsid w:val="00871411"/>
    <w:rsid w:val="00871A7B"/>
    <w:rsid w:val="00872192"/>
    <w:rsid w:val="008726D9"/>
    <w:rsid w:val="008740D8"/>
    <w:rsid w:val="0087506B"/>
    <w:rsid w:val="008767F0"/>
    <w:rsid w:val="0087693A"/>
    <w:rsid w:val="00876C63"/>
    <w:rsid w:val="00876D94"/>
    <w:rsid w:val="0088624B"/>
    <w:rsid w:val="0089069E"/>
    <w:rsid w:val="008912D3"/>
    <w:rsid w:val="008914CB"/>
    <w:rsid w:val="008937B1"/>
    <w:rsid w:val="00894A43"/>
    <w:rsid w:val="00895477"/>
    <w:rsid w:val="008A15AE"/>
    <w:rsid w:val="008A1DBB"/>
    <w:rsid w:val="008A2A18"/>
    <w:rsid w:val="008A55D4"/>
    <w:rsid w:val="008A6A39"/>
    <w:rsid w:val="008B185F"/>
    <w:rsid w:val="008B3113"/>
    <w:rsid w:val="008B45F2"/>
    <w:rsid w:val="008B4E65"/>
    <w:rsid w:val="008B5744"/>
    <w:rsid w:val="008B7818"/>
    <w:rsid w:val="008C04C6"/>
    <w:rsid w:val="008C1D87"/>
    <w:rsid w:val="008C2047"/>
    <w:rsid w:val="008C2490"/>
    <w:rsid w:val="008C2FED"/>
    <w:rsid w:val="008C4AC0"/>
    <w:rsid w:val="008C5304"/>
    <w:rsid w:val="008C6459"/>
    <w:rsid w:val="008C7CC2"/>
    <w:rsid w:val="008D01F8"/>
    <w:rsid w:val="008D0325"/>
    <w:rsid w:val="008D0AD4"/>
    <w:rsid w:val="008D2BA4"/>
    <w:rsid w:val="008D2D84"/>
    <w:rsid w:val="008D4CB3"/>
    <w:rsid w:val="008D5CDB"/>
    <w:rsid w:val="008D643C"/>
    <w:rsid w:val="008D6554"/>
    <w:rsid w:val="008D756F"/>
    <w:rsid w:val="008D7E71"/>
    <w:rsid w:val="008E10E0"/>
    <w:rsid w:val="008E6072"/>
    <w:rsid w:val="008E6640"/>
    <w:rsid w:val="008F2669"/>
    <w:rsid w:val="008F2710"/>
    <w:rsid w:val="008F432E"/>
    <w:rsid w:val="008F784B"/>
    <w:rsid w:val="008F7A01"/>
    <w:rsid w:val="00900AF7"/>
    <w:rsid w:val="00901909"/>
    <w:rsid w:val="00901ACE"/>
    <w:rsid w:val="00901B37"/>
    <w:rsid w:val="009043D1"/>
    <w:rsid w:val="00904AA1"/>
    <w:rsid w:val="0090500B"/>
    <w:rsid w:val="0090746E"/>
    <w:rsid w:val="0090771A"/>
    <w:rsid w:val="00907D44"/>
    <w:rsid w:val="009106C1"/>
    <w:rsid w:val="00910BA4"/>
    <w:rsid w:val="00912C9D"/>
    <w:rsid w:val="00912DA8"/>
    <w:rsid w:val="00915499"/>
    <w:rsid w:val="00916595"/>
    <w:rsid w:val="009169DE"/>
    <w:rsid w:val="00922E94"/>
    <w:rsid w:val="00924CB1"/>
    <w:rsid w:val="00925905"/>
    <w:rsid w:val="00926039"/>
    <w:rsid w:val="009275C5"/>
    <w:rsid w:val="00927772"/>
    <w:rsid w:val="00931E88"/>
    <w:rsid w:val="009330D9"/>
    <w:rsid w:val="00933939"/>
    <w:rsid w:val="00934162"/>
    <w:rsid w:val="009342D4"/>
    <w:rsid w:val="00936818"/>
    <w:rsid w:val="009369EF"/>
    <w:rsid w:val="00936A52"/>
    <w:rsid w:val="00936C1F"/>
    <w:rsid w:val="00940B15"/>
    <w:rsid w:val="0094391C"/>
    <w:rsid w:val="00946996"/>
    <w:rsid w:val="0095322B"/>
    <w:rsid w:val="0095360A"/>
    <w:rsid w:val="009604D5"/>
    <w:rsid w:val="009626CA"/>
    <w:rsid w:val="00962D06"/>
    <w:rsid w:val="00963402"/>
    <w:rsid w:val="00964835"/>
    <w:rsid w:val="00966917"/>
    <w:rsid w:val="00967387"/>
    <w:rsid w:val="009709AB"/>
    <w:rsid w:val="00971FD5"/>
    <w:rsid w:val="0097223A"/>
    <w:rsid w:val="009729E3"/>
    <w:rsid w:val="00974167"/>
    <w:rsid w:val="00974BED"/>
    <w:rsid w:val="00976143"/>
    <w:rsid w:val="009770A0"/>
    <w:rsid w:val="00980073"/>
    <w:rsid w:val="00981B42"/>
    <w:rsid w:val="00982041"/>
    <w:rsid w:val="00983099"/>
    <w:rsid w:val="009832E7"/>
    <w:rsid w:val="009836DB"/>
    <w:rsid w:val="00984A57"/>
    <w:rsid w:val="00984EF3"/>
    <w:rsid w:val="009868B1"/>
    <w:rsid w:val="009911A1"/>
    <w:rsid w:val="00992322"/>
    <w:rsid w:val="00993261"/>
    <w:rsid w:val="00993578"/>
    <w:rsid w:val="0099630F"/>
    <w:rsid w:val="00997B82"/>
    <w:rsid w:val="00997E03"/>
    <w:rsid w:val="009A0770"/>
    <w:rsid w:val="009A0BA3"/>
    <w:rsid w:val="009A1A8B"/>
    <w:rsid w:val="009A2A56"/>
    <w:rsid w:val="009A418D"/>
    <w:rsid w:val="009A520C"/>
    <w:rsid w:val="009A6EB5"/>
    <w:rsid w:val="009A75FE"/>
    <w:rsid w:val="009B137E"/>
    <w:rsid w:val="009B2144"/>
    <w:rsid w:val="009B6315"/>
    <w:rsid w:val="009B6C73"/>
    <w:rsid w:val="009C137C"/>
    <w:rsid w:val="009C4645"/>
    <w:rsid w:val="009C59F9"/>
    <w:rsid w:val="009C63B1"/>
    <w:rsid w:val="009C6C6F"/>
    <w:rsid w:val="009D0173"/>
    <w:rsid w:val="009D0895"/>
    <w:rsid w:val="009D3644"/>
    <w:rsid w:val="009D3EAE"/>
    <w:rsid w:val="009D4BEF"/>
    <w:rsid w:val="009D4D73"/>
    <w:rsid w:val="009D5DD3"/>
    <w:rsid w:val="009D6DC4"/>
    <w:rsid w:val="009D7295"/>
    <w:rsid w:val="009D761B"/>
    <w:rsid w:val="009D7AAE"/>
    <w:rsid w:val="009E0D4A"/>
    <w:rsid w:val="009E246D"/>
    <w:rsid w:val="009E2A07"/>
    <w:rsid w:val="009E3AA4"/>
    <w:rsid w:val="009E3C63"/>
    <w:rsid w:val="009E6590"/>
    <w:rsid w:val="009F01CF"/>
    <w:rsid w:val="009F06C5"/>
    <w:rsid w:val="009F0C46"/>
    <w:rsid w:val="009F2607"/>
    <w:rsid w:val="009F2B8E"/>
    <w:rsid w:val="009F599E"/>
    <w:rsid w:val="009F5B9C"/>
    <w:rsid w:val="009F7D3B"/>
    <w:rsid w:val="00A00126"/>
    <w:rsid w:val="00A003C1"/>
    <w:rsid w:val="00A00655"/>
    <w:rsid w:val="00A00C58"/>
    <w:rsid w:val="00A010F0"/>
    <w:rsid w:val="00A02290"/>
    <w:rsid w:val="00A04535"/>
    <w:rsid w:val="00A070EE"/>
    <w:rsid w:val="00A07363"/>
    <w:rsid w:val="00A0739C"/>
    <w:rsid w:val="00A13043"/>
    <w:rsid w:val="00A13616"/>
    <w:rsid w:val="00A1363C"/>
    <w:rsid w:val="00A13BD0"/>
    <w:rsid w:val="00A14DE4"/>
    <w:rsid w:val="00A151FA"/>
    <w:rsid w:val="00A166A4"/>
    <w:rsid w:val="00A179D3"/>
    <w:rsid w:val="00A23587"/>
    <w:rsid w:val="00A23EE3"/>
    <w:rsid w:val="00A25A3F"/>
    <w:rsid w:val="00A25C59"/>
    <w:rsid w:val="00A3012B"/>
    <w:rsid w:val="00A30F3D"/>
    <w:rsid w:val="00A31F82"/>
    <w:rsid w:val="00A350E9"/>
    <w:rsid w:val="00A3538E"/>
    <w:rsid w:val="00A3720D"/>
    <w:rsid w:val="00A37505"/>
    <w:rsid w:val="00A40594"/>
    <w:rsid w:val="00A41A0B"/>
    <w:rsid w:val="00A44C46"/>
    <w:rsid w:val="00A452BB"/>
    <w:rsid w:val="00A455E5"/>
    <w:rsid w:val="00A455F7"/>
    <w:rsid w:val="00A456F5"/>
    <w:rsid w:val="00A45853"/>
    <w:rsid w:val="00A46E22"/>
    <w:rsid w:val="00A513D2"/>
    <w:rsid w:val="00A51406"/>
    <w:rsid w:val="00A530A2"/>
    <w:rsid w:val="00A54120"/>
    <w:rsid w:val="00A54A51"/>
    <w:rsid w:val="00A56887"/>
    <w:rsid w:val="00A60B29"/>
    <w:rsid w:val="00A60B80"/>
    <w:rsid w:val="00A61197"/>
    <w:rsid w:val="00A63267"/>
    <w:rsid w:val="00A64046"/>
    <w:rsid w:val="00A64535"/>
    <w:rsid w:val="00A71411"/>
    <w:rsid w:val="00A71C30"/>
    <w:rsid w:val="00A71EF1"/>
    <w:rsid w:val="00A72235"/>
    <w:rsid w:val="00A72A25"/>
    <w:rsid w:val="00A736A6"/>
    <w:rsid w:val="00A740D7"/>
    <w:rsid w:val="00A75555"/>
    <w:rsid w:val="00A759CD"/>
    <w:rsid w:val="00A776D2"/>
    <w:rsid w:val="00A82C81"/>
    <w:rsid w:val="00A836BF"/>
    <w:rsid w:val="00A83C4D"/>
    <w:rsid w:val="00A83D4C"/>
    <w:rsid w:val="00A84317"/>
    <w:rsid w:val="00A85490"/>
    <w:rsid w:val="00A85845"/>
    <w:rsid w:val="00A86794"/>
    <w:rsid w:val="00A9216C"/>
    <w:rsid w:val="00A93438"/>
    <w:rsid w:val="00A9361C"/>
    <w:rsid w:val="00A94EEF"/>
    <w:rsid w:val="00A9587C"/>
    <w:rsid w:val="00A9619D"/>
    <w:rsid w:val="00A967E5"/>
    <w:rsid w:val="00A9697A"/>
    <w:rsid w:val="00A96CB3"/>
    <w:rsid w:val="00A97AA9"/>
    <w:rsid w:val="00AA054E"/>
    <w:rsid w:val="00AA17E3"/>
    <w:rsid w:val="00AA1C72"/>
    <w:rsid w:val="00AA2A5E"/>
    <w:rsid w:val="00AA2BF1"/>
    <w:rsid w:val="00AA3558"/>
    <w:rsid w:val="00AA5D0C"/>
    <w:rsid w:val="00AA6712"/>
    <w:rsid w:val="00AA6B2C"/>
    <w:rsid w:val="00AB15E6"/>
    <w:rsid w:val="00AB1EE0"/>
    <w:rsid w:val="00AB2014"/>
    <w:rsid w:val="00AB234B"/>
    <w:rsid w:val="00AB23FC"/>
    <w:rsid w:val="00AB2493"/>
    <w:rsid w:val="00AB3C03"/>
    <w:rsid w:val="00AB50AF"/>
    <w:rsid w:val="00AB52EA"/>
    <w:rsid w:val="00AB7BAC"/>
    <w:rsid w:val="00AC0EF8"/>
    <w:rsid w:val="00AC263A"/>
    <w:rsid w:val="00AC2A27"/>
    <w:rsid w:val="00AC2E64"/>
    <w:rsid w:val="00AC3DBE"/>
    <w:rsid w:val="00AC4959"/>
    <w:rsid w:val="00AC67EB"/>
    <w:rsid w:val="00AC7995"/>
    <w:rsid w:val="00AD039B"/>
    <w:rsid w:val="00AD0565"/>
    <w:rsid w:val="00AD0A0A"/>
    <w:rsid w:val="00AD32D9"/>
    <w:rsid w:val="00AD3352"/>
    <w:rsid w:val="00AD47E3"/>
    <w:rsid w:val="00AD4A59"/>
    <w:rsid w:val="00AD5746"/>
    <w:rsid w:val="00AD60A8"/>
    <w:rsid w:val="00AD64B8"/>
    <w:rsid w:val="00AE089F"/>
    <w:rsid w:val="00AE36AF"/>
    <w:rsid w:val="00AE3F46"/>
    <w:rsid w:val="00AE4061"/>
    <w:rsid w:val="00AE68F6"/>
    <w:rsid w:val="00AF17F6"/>
    <w:rsid w:val="00AF4901"/>
    <w:rsid w:val="00AF4B88"/>
    <w:rsid w:val="00AF670F"/>
    <w:rsid w:val="00AF75AC"/>
    <w:rsid w:val="00AF766A"/>
    <w:rsid w:val="00AF7C1B"/>
    <w:rsid w:val="00B012B6"/>
    <w:rsid w:val="00B014BB"/>
    <w:rsid w:val="00B045EC"/>
    <w:rsid w:val="00B058FF"/>
    <w:rsid w:val="00B074D0"/>
    <w:rsid w:val="00B10CFD"/>
    <w:rsid w:val="00B11E34"/>
    <w:rsid w:val="00B134B0"/>
    <w:rsid w:val="00B14A84"/>
    <w:rsid w:val="00B158C3"/>
    <w:rsid w:val="00B22517"/>
    <w:rsid w:val="00B2293D"/>
    <w:rsid w:val="00B2353C"/>
    <w:rsid w:val="00B272BE"/>
    <w:rsid w:val="00B27A14"/>
    <w:rsid w:val="00B32C84"/>
    <w:rsid w:val="00B33E5E"/>
    <w:rsid w:val="00B34D85"/>
    <w:rsid w:val="00B34E70"/>
    <w:rsid w:val="00B3567F"/>
    <w:rsid w:val="00B3710C"/>
    <w:rsid w:val="00B37FE3"/>
    <w:rsid w:val="00B413CC"/>
    <w:rsid w:val="00B41521"/>
    <w:rsid w:val="00B415FE"/>
    <w:rsid w:val="00B42205"/>
    <w:rsid w:val="00B43502"/>
    <w:rsid w:val="00B445B9"/>
    <w:rsid w:val="00B46A08"/>
    <w:rsid w:val="00B46C4E"/>
    <w:rsid w:val="00B47DAA"/>
    <w:rsid w:val="00B504BE"/>
    <w:rsid w:val="00B506B0"/>
    <w:rsid w:val="00B51FD6"/>
    <w:rsid w:val="00B52A04"/>
    <w:rsid w:val="00B53238"/>
    <w:rsid w:val="00B5343C"/>
    <w:rsid w:val="00B53B5A"/>
    <w:rsid w:val="00B53EA7"/>
    <w:rsid w:val="00B561E7"/>
    <w:rsid w:val="00B568BF"/>
    <w:rsid w:val="00B664E9"/>
    <w:rsid w:val="00B67A2A"/>
    <w:rsid w:val="00B70610"/>
    <w:rsid w:val="00B72DDC"/>
    <w:rsid w:val="00B7347F"/>
    <w:rsid w:val="00B74AB7"/>
    <w:rsid w:val="00B75565"/>
    <w:rsid w:val="00B76017"/>
    <w:rsid w:val="00B7689E"/>
    <w:rsid w:val="00B81053"/>
    <w:rsid w:val="00B82164"/>
    <w:rsid w:val="00B870C8"/>
    <w:rsid w:val="00B87B00"/>
    <w:rsid w:val="00B90513"/>
    <w:rsid w:val="00B90A5B"/>
    <w:rsid w:val="00B916FF"/>
    <w:rsid w:val="00B92345"/>
    <w:rsid w:val="00B925E5"/>
    <w:rsid w:val="00B92C4F"/>
    <w:rsid w:val="00B9530E"/>
    <w:rsid w:val="00B95B12"/>
    <w:rsid w:val="00B96026"/>
    <w:rsid w:val="00BA02A3"/>
    <w:rsid w:val="00BA14BA"/>
    <w:rsid w:val="00BA17A9"/>
    <w:rsid w:val="00BA1F6D"/>
    <w:rsid w:val="00BA30F2"/>
    <w:rsid w:val="00BA4EAC"/>
    <w:rsid w:val="00BA617C"/>
    <w:rsid w:val="00BA68B2"/>
    <w:rsid w:val="00BA7C51"/>
    <w:rsid w:val="00BA7E1E"/>
    <w:rsid w:val="00BA7E21"/>
    <w:rsid w:val="00BB18C4"/>
    <w:rsid w:val="00BB505E"/>
    <w:rsid w:val="00BB7324"/>
    <w:rsid w:val="00BB78A6"/>
    <w:rsid w:val="00BC0543"/>
    <w:rsid w:val="00BC11E8"/>
    <w:rsid w:val="00BC15FB"/>
    <w:rsid w:val="00BC16FF"/>
    <w:rsid w:val="00BC22CF"/>
    <w:rsid w:val="00BC3D6F"/>
    <w:rsid w:val="00BC4C6A"/>
    <w:rsid w:val="00BC57F5"/>
    <w:rsid w:val="00BC782B"/>
    <w:rsid w:val="00BD498B"/>
    <w:rsid w:val="00BD604B"/>
    <w:rsid w:val="00BD65CD"/>
    <w:rsid w:val="00BD6A7C"/>
    <w:rsid w:val="00BD768A"/>
    <w:rsid w:val="00BD7AFF"/>
    <w:rsid w:val="00BD7CA7"/>
    <w:rsid w:val="00BE13B9"/>
    <w:rsid w:val="00BE2BF4"/>
    <w:rsid w:val="00BE4FCF"/>
    <w:rsid w:val="00BE5DA9"/>
    <w:rsid w:val="00BE69FF"/>
    <w:rsid w:val="00BF0872"/>
    <w:rsid w:val="00BF1745"/>
    <w:rsid w:val="00BF19FA"/>
    <w:rsid w:val="00BF4C3E"/>
    <w:rsid w:val="00BF54B5"/>
    <w:rsid w:val="00BF757A"/>
    <w:rsid w:val="00C017FF"/>
    <w:rsid w:val="00C01FBD"/>
    <w:rsid w:val="00C02090"/>
    <w:rsid w:val="00C03970"/>
    <w:rsid w:val="00C04AA0"/>
    <w:rsid w:val="00C060B9"/>
    <w:rsid w:val="00C06806"/>
    <w:rsid w:val="00C0746C"/>
    <w:rsid w:val="00C07ED9"/>
    <w:rsid w:val="00C11341"/>
    <w:rsid w:val="00C17352"/>
    <w:rsid w:val="00C17507"/>
    <w:rsid w:val="00C17BFA"/>
    <w:rsid w:val="00C22767"/>
    <w:rsid w:val="00C22C2F"/>
    <w:rsid w:val="00C25992"/>
    <w:rsid w:val="00C2610D"/>
    <w:rsid w:val="00C267E3"/>
    <w:rsid w:val="00C27B64"/>
    <w:rsid w:val="00C30167"/>
    <w:rsid w:val="00C308DC"/>
    <w:rsid w:val="00C31807"/>
    <w:rsid w:val="00C31AC5"/>
    <w:rsid w:val="00C31CE3"/>
    <w:rsid w:val="00C3206E"/>
    <w:rsid w:val="00C37F27"/>
    <w:rsid w:val="00C40CC6"/>
    <w:rsid w:val="00C41E59"/>
    <w:rsid w:val="00C449B4"/>
    <w:rsid w:val="00C4510D"/>
    <w:rsid w:val="00C471D2"/>
    <w:rsid w:val="00C47231"/>
    <w:rsid w:val="00C4754D"/>
    <w:rsid w:val="00C52276"/>
    <w:rsid w:val="00C52AC1"/>
    <w:rsid w:val="00C5311E"/>
    <w:rsid w:val="00C5343D"/>
    <w:rsid w:val="00C54A52"/>
    <w:rsid w:val="00C60A5E"/>
    <w:rsid w:val="00C61028"/>
    <w:rsid w:val="00C62B36"/>
    <w:rsid w:val="00C63219"/>
    <w:rsid w:val="00C64182"/>
    <w:rsid w:val="00C70604"/>
    <w:rsid w:val="00C7392F"/>
    <w:rsid w:val="00C74622"/>
    <w:rsid w:val="00C74920"/>
    <w:rsid w:val="00C7610F"/>
    <w:rsid w:val="00C773F9"/>
    <w:rsid w:val="00C775A1"/>
    <w:rsid w:val="00C77B0A"/>
    <w:rsid w:val="00C8091E"/>
    <w:rsid w:val="00C80EE0"/>
    <w:rsid w:val="00C8162B"/>
    <w:rsid w:val="00C816BA"/>
    <w:rsid w:val="00C81CA2"/>
    <w:rsid w:val="00C8291D"/>
    <w:rsid w:val="00C833B1"/>
    <w:rsid w:val="00C91C9D"/>
    <w:rsid w:val="00C93A2E"/>
    <w:rsid w:val="00C9595B"/>
    <w:rsid w:val="00C96BF3"/>
    <w:rsid w:val="00C97AFD"/>
    <w:rsid w:val="00CA13D6"/>
    <w:rsid w:val="00CA17E1"/>
    <w:rsid w:val="00CA2484"/>
    <w:rsid w:val="00CA2910"/>
    <w:rsid w:val="00CA296D"/>
    <w:rsid w:val="00CA32BF"/>
    <w:rsid w:val="00CA32DC"/>
    <w:rsid w:val="00CA5D88"/>
    <w:rsid w:val="00CA5EA6"/>
    <w:rsid w:val="00CA6433"/>
    <w:rsid w:val="00CA647F"/>
    <w:rsid w:val="00CA69D7"/>
    <w:rsid w:val="00CA70D9"/>
    <w:rsid w:val="00CA79F7"/>
    <w:rsid w:val="00CB00DA"/>
    <w:rsid w:val="00CB5291"/>
    <w:rsid w:val="00CB644D"/>
    <w:rsid w:val="00CB7517"/>
    <w:rsid w:val="00CC016D"/>
    <w:rsid w:val="00CC01F2"/>
    <w:rsid w:val="00CC07FA"/>
    <w:rsid w:val="00CC0B97"/>
    <w:rsid w:val="00CC2B30"/>
    <w:rsid w:val="00CC3532"/>
    <w:rsid w:val="00CC5AC0"/>
    <w:rsid w:val="00CC6554"/>
    <w:rsid w:val="00CD00BC"/>
    <w:rsid w:val="00CD1954"/>
    <w:rsid w:val="00CD1F12"/>
    <w:rsid w:val="00CD34FF"/>
    <w:rsid w:val="00CD37B5"/>
    <w:rsid w:val="00CD3B65"/>
    <w:rsid w:val="00CD3CB1"/>
    <w:rsid w:val="00CD43FA"/>
    <w:rsid w:val="00CD608D"/>
    <w:rsid w:val="00CD7616"/>
    <w:rsid w:val="00CD795A"/>
    <w:rsid w:val="00CE11DD"/>
    <w:rsid w:val="00CE30EF"/>
    <w:rsid w:val="00CE3283"/>
    <w:rsid w:val="00CE4D95"/>
    <w:rsid w:val="00CE629D"/>
    <w:rsid w:val="00CF07E6"/>
    <w:rsid w:val="00CF1BAF"/>
    <w:rsid w:val="00CF226E"/>
    <w:rsid w:val="00CF232C"/>
    <w:rsid w:val="00CF2562"/>
    <w:rsid w:val="00CF33B6"/>
    <w:rsid w:val="00CF376B"/>
    <w:rsid w:val="00CF406F"/>
    <w:rsid w:val="00CF5521"/>
    <w:rsid w:val="00CF656C"/>
    <w:rsid w:val="00CF7D29"/>
    <w:rsid w:val="00D01FB8"/>
    <w:rsid w:val="00D021C2"/>
    <w:rsid w:val="00D02A81"/>
    <w:rsid w:val="00D04C65"/>
    <w:rsid w:val="00D04C90"/>
    <w:rsid w:val="00D062BE"/>
    <w:rsid w:val="00D06457"/>
    <w:rsid w:val="00D06776"/>
    <w:rsid w:val="00D07E73"/>
    <w:rsid w:val="00D115E6"/>
    <w:rsid w:val="00D13FEF"/>
    <w:rsid w:val="00D151E7"/>
    <w:rsid w:val="00D1730F"/>
    <w:rsid w:val="00D17B1C"/>
    <w:rsid w:val="00D17DD1"/>
    <w:rsid w:val="00D22406"/>
    <w:rsid w:val="00D2384D"/>
    <w:rsid w:val="00D25869"/>
    <w:rsid w:val="00D25C0A"/>
    <w:rsid w:val="00D25D86"/>
    <w:rsid w:val="00D263F1"/>
    <w:rsid w:val="00D26487"/>
    <w:rsid w:val="00D265C8"/>
    <w:rsid w:val="00D323C4"/>
    <w:rsid w:val="00D33F2B"/>
    <w:rsid w:val="00D34189"/>
    <w:rsid w:val="00D34CE8"/>
    <w:rsid w:val="00D3593A"/>
    <w:rsid w:val="00D375D6"/>
    <w:rsid w:val="00D4001C"/>
    <w:rsid w:val="00D438F0"/>
    <w:rsid w:val="00D44372"/>
    <w:rsid w:val="00D443D4"/>
    <w:rsid w:val="00D45834"/>
    <w:rsid w:val="00D4603C"/>
    <w:rsid w:val="00D5206B"/>
    <w:rsid w:val="00D52ADB"/>
    <w:rsid w:val="00D53161"/>
    <w:rsid w:val="00D5508F"/>
    <w:rsid w:val="00D55786"/>
    <w:rsid w:val="00D55EC2"/>
    <w:rsid w:val="00D55F02"/>
    <w:rsid w:val="00D60812"/>
    <w:rsid w:val="00D60A30"/>
    <w:rsid w:val="00D623DD"/>
    <w:rsid w:val="00D62D39"/>
    <w:rsid w:val="00D632DB"/>
    <w:rsid w:val="00D63708"/>
    <w:rsid w:val="00D643B5"/>
    <w:rsid w:val="00D6481B"/>
    <w:rsid w:val="00D66900"/>
    <w:rsid w:val="00D66BB9"/>
    <w:rsid w:val="00D67371"/>
    <w:rsid w:val="00D70935"/>
    <w:rsid w:val="00D724FE"/>
    <w:rsid w:val="00D759E5"/>
    <w:rsid w:val="00D77706"/>
    <w:rsid w:val="00D77A2F"/>
    <w:rsid w:val="00D80219"/>
    <w:rsid w:val="00D8128F"/>
    <w:rsid w:val="00D82717"/>
    <w:rsid w:val="00D82D31"/>
    <w:rsid w:val="00D82E17"/>
    <w:rsid w:val="00D84645"/>
    <w:rsid w:val="00D859AC"/>
    <w:rsid w:val="00D86198"/>
    <w:rsid w:val="00D874EA"/>
    <w:rsid w:val="00D87704"/>
    <w:rsid w:val="00D878BD"/>
    <w:rsid w:val="00D90EDE"/>
    <w:rsid w:val="00D9165A"/>
    <w:rsid w:val="00D91EAA"/>
    <w:rsid w:val="00D92AC0"/>
    <w:rsid w:val="00D94DD8"/>
    <w:rsid w:val="00D96028"/>
    <w:rsid w:val="00DA1892"/>
    <w:rsid w:val="00DA22EF"/>
    <w:rsid w:val="00DA34B6"/>
    <w:rsid w:val="00DA36CA"/>
    <w:rsid w:val="00DA48A7"/>
    <w:rsid w:val="00DA5907"/>
    <w:rsid w:val="00DA6E7B"/>
    <w:rsid w:val="00DB0AED"/>
    <w:rsid w:val="00DB10AB"/>
    <w:rsid w:val="00DB1F0A"/>
    <w:rsid w:val="00DB3001"/>
    <w:rsid w:val="00DB3CCC"/>
    <w:rsid w:val="00DB53CB"/>
    <w:rsid w:val="00DB67F3"/>
    <w:rsid w:val="00DC11F9"/>
    <w:rsid w:val="00DC2867"/>
    <w:rsid w:val="00DC343A"/>
    <w:rsid w:val="00DD130F"/>
    <w:rsid w:val="00DD229C"/>
    <w:rsid w:val="00DD4131"/>
    <w:rsid w:val="00DD4387"/>
    <w:rsid w:val="00DD5B36"/>
    <w:rsid w:val="00DE295D"/>
    <w:rsid w:val="00DE2B95"/>
    <w:rsid w:val="00DE45E9"/>
    <w:rsid w:val="00DE51F9"/>
    <w:rsid w:val="00DE56BC"/>
    <w:rsid w:val="00DE7746"/>
    <w:rsid w:val="00DE7F8F"/>
    <w:rsid w:val="00DF03B9"/>
    <w:rsid w:val="00DF0C4B"/>
    <w:rsid w:val="00DF0F34"/>
    <w:rsid w:val="00DF1657"/>
    <w:rsid w:val="00DF36FD"/>
    <w:rsid w:val="00DF38F5"/>
    <w:rsid w:val="00DF6462"/>
    <w:rsid w:val="00DF6D4A"/>
    <w:rsid w:val="00E01C2C"/>
    <w:rsid w:val="00E020B4"/>
    <w:rsid w:val="00E023F7"/>
    <w:rsid w:val="00E035A1"/>
    <w:rsid w:val="00E03911"/>
    <w:rsid w:val="00E049CB"/>
    <w:rsid w:val="00E04D19"/>
    <w:rsid w:val="00E05B4C"/>
    <w:rsid w:val="00E10691"/>
    <w:rsid w:val="00E1143F"/>
    <w:rsid w:val="00E1160F"/>
    <w:rsid w:val="00E116BC"/>
    <w:rsid w:val="00E11A5D"/>
    <w:rsid w:val="00E12377"/>
    <w:rsid w:val="00E12D42"/>
    <w:rsid w:val="00E12E5C"/>
    <w:rsid w:val="00E13986"/>
    <w:rsid w:val="00E14FF2"/>
    <w:rsid w:val="00E2059A"/>
    <w:rsid w:val="00E234C8"/>
    <w:rsid w:val="00E2361D"/>
    <w:rsid w:val="00E23FD9"/>
    <w:rsid w:val="00E241D9"/>
    <w:rsid w:val="00E24E21"/>
    <w:rsid w:val="00E26111"/>
    <w:rsid w:val="00E27F54"/>
    <w:rsid w:val="00E30277"/>
    <w:rsid w:val="00E308BB"/>
    <w:rsid w:val="00E313CE"/>
    <w:rsid w:val="00E3244D"/>
    <w:rsid w:val="00E32751"/>
    <w:rsid w:val="00E33895"/>
    <w:rsid w:val="00E3398B"/>
    <w:rsid w:val="00E367DC"/>
    <w:rsid w:val="00E36D70"/>
    <w:rsid w:val="00E37693"/>
    <w:rsid w:val="00E377C9"/>
    <w:rsid w:val="00E37B82"/>
    <w:rsid w:val="00E37D59"/>
    <w:rsid w:val="00E42E68"/>
    <w:rsid w:val="00E449C3"/>
    <w:rsid w:val="00E453B2"/>
    <w:rsid w:val="00E46571"/>
    <w:rsid w:val="00E501E2"/>
    <w:rsid w:val="00E5374C"/>
    <w:rsid w:val="00E53C85"/>
    <w:rsid w:val="00E5484C"/>
    <w:rsid w:val="00E550CC"/>
    <w:rsid w:val="00E55672"/>
    <w:rsid w:val="00E56FEA"/>
    <w:rsid w:val="00E60196"/>
    <w:rsid w:val="00E61F8D"/>
    <w:rsid w:val="00E63C2D"/>
    <w:rsid w:val="00E67590"/>
    <w:rsid w:val="00E67F1D"/>
    <w:rsid w:val="00E709FC"/>
    <w:rsid w:val="00E71ADD"/>
    <w:rsid w:val="00E73876"/>
    <w:rsid w:val="00E74575"/>
    <w:rsid w:val="00E74AD8"/>
    <w:rsid w:val="00E76CEE"/>
    <w:rsid w:val="00E77286"/>
    <w:rsid w:val="00E77455"/>
    <w:rsid w:val="00E77A51"/>
    <w:rsid w:val="00E804D3"/>
    <w:rsid w:val="00E80AC4"/>
    <w:rsid w:val="00E816A6"/>
    <w:rsid w:val="00E81DB4"/>
    <w:rsid w:val="00E82C77"/>
    <w:rsid w:val="00E84A30"/>
    <w:rsid w:val="00E857F8"/>
    <w:rsid w:val="00E86ECC"/>
    <w:rsid w:val="00E87CB3"/>
    <w:rsid w:val="00E91141"/>
    <w:rsid w:val="00E911FE"/>
    <w:rsid w:val="00E925A6"/>
    <w:rsid w:val="00E945AC"/>
    <w:rsid w:val="00E94859"/>
    <w:rsid w:val="00E94C30"/>
    <w:rsid w:val="00E95A4A"/>
    <w:rsid w:val="00E95C4B"/>
    <w:rsid w:val="00E965EE"/>
    <w:rsid w:val="00E9683E"/>
    <w:rsid w:val="00E96ECC"/>
    <w:rsid w:val="00E9744A"/>
    <w:rsid w:val="00E97657"/>
    <w:rsid w:val="00EA2A51"/>
    <w:rsid w:val="00EA3F51"/>
    <w:rsid w:val="00EA536C"/>
    <w:rsid w:val="00EA5574"/>
    <w:rsid w:val="00EB0052"/>
    <w:rsid w:val="00EB0FBB"/>
    <w:rsid w:val="00EB215C"/>
    <w:rsid w:val="00EB3768"/>
    <w:rsid w:val="00EB3A44"/>
    <w:rsid w:val="00EB5817"/>
    <w:rsid w:val="00EB5D26"/>
    <w:rsid w:val="00EB7522"/>
    <w:rsid w:val="00EB7D69"/>
    <w:rsid w:val="00EC2870"/>
    <w:rsid w:val="00EC2AC1"/>
    <w:rsid w:val="00EC4184"/>
    <w:rsid w:val="00EC70FA"/>
    <w:rsid w:val="00EC7BA7"/>
    <w:rsid w:val="00ED0CB1"/>
    <w:rsid w:val="00ED230B"/>
    <w:rsid w:val="00ED3570"/>
    <w:rsid w:val="00ED368F"/>
    <w:rsid w:val="00ED3B71"/>
    <w:rsid w:val="00ED4A3F"/>
    <w:rsid w:val="00ED4FDE"/>
    <w:rsid w:val="00ED6D87"/>
    <w:rsid w:val="00EE1DB5"/>
    <w:rsid w:val="00EE3357"/>
    <w:rsid w:val="00EF0C29"/>
    <w:rsid w:val="00EF30E2"/>
    <w:rsid w:val="00EF3119"/>
    <w:rsid w:val="00EF3282"/>
    <w:rsid w:val="00EF6C64"/>
    <w:rsid w:val="00F016BB"/>
    <w:rsid w:val="00F039CF"/>
    <w:rsid w:val="00F05328"/>
    <w:rsid w:val="00F05335"/>
    <w:rsid w:val="00F0536E"/>
    <w:rsid w:val="00F05D39"/>
    <w:rsid w:val="00F06333"/>
    <w:rsid w:val="00F06593"/>
    <w:rsid w:val="00F0725A"/>
    <w:rsid w:val="00F10E47"/>
    <w:rsid w:val="00F11A4E"/>
    <w:rsid w:val="00F12F6E"/>
    <w:rsid w:val="00F13CBC"/>
    <w:rsid w:val="00F14855"/>
    <w:rsid w:val="00F21417"/>
    <w:rsid w:val="00F21E4B"/>
    <w:rsid w:val="00F22A72"/>
    <w:rsid w:val="00F231CE"/>
    <w:rsid w:val="00F247C8"/>
    <w:rsid w:val="00F25BF4"/>
    <w:rsid w:val="00F2635E"/>
    <w:rsid w:val="00F278B9"/>
    <w:rsid w:val="00F30AFD"/>
    <w:rsid w:val="00F318C5"/>
    <w:rsid w:val="00F3199A"/>
    <w:rsid w:val="00F319A5"/>
    <w:rsid w:val="00F32C8C"/>
    <w:rsid w:val="00F33B1D"/>
    <w:rsid w:val="00F343E0"/>
    <w:rsid w:val="00F360B3"/>
    <w:rsid w:val="00F40A28"/>
    <w:rsid w:val="00F41232"/>
    <w:rsid w:val="00F41319"/>
    <w:rsid w:val="00F421E6"/>
    <w:rsid w:val="00F4303A"/>
    <w:rsid w:val="00F475D0"/>
    <w:rsid w:val="00F5118A"/>
    <w:rsid w:val="00F555B0"/>
    <w:rsid w:val="00F6162A"/>
    <w:rsid w:val="00F66759"/>
    <w:rsid w:val="00F677CF"/>
    <w:rsid w:val="00F67967"/>
    <w:rsid w:val="00F67CF6"/>
    <w:rsid w:val="00F72651"/>
    <w:rsid w:val="00F8175E"/>
    <w:rsid w:val="00F81B05"/>
    <w:rsid w:val="00F81F15"/>
    <w:rsid w:val="00F82049"/>
    <w:rsid w:val="00F82C9F"/>
    <w:rsid w:val="00F8388A"/>
    <w:rsid w:val="00F84E80"/>
    <w:rsid w:val="00F87537"/>
    <w:rsid w:val="00F90435"/>
    <w:rsid w:val="00F947DC"/>
    <w:rsid w:val="00F97424"/>
    <w:rsid w:val="00F9781A"/>
    <w:rsid w:val="00FA057C"/>
    <w:rsid w:val="00FA086F"/>
    <w:rsid w:val="00FA0D16"/>
    <w:rsid w:val="00FA185B"/>
    <w:rsid w:val="00FA60BF"/>
    <w:rsid w:val="00FA6883"/>
    <w:rsid w:val="00FA7405"/>
    <w:rsid w:val="00FB0D12"/>
    <w:rsid w:val="00FB1CB4"/>
    <w:rsid w:val="00FB3D40"/>
    <w:rsid w:val="00FB44EB"/>
    <w:rsid w:val="00FB675F"/>
    <w:rsid w:val="00FC1300"/>
    <w:rsid w:val="00FC1C93"/>
    <w:rsid w:val="00FC42A3"/>
    <w:rsid w:val="00FC55F9"/>
    <w:rsid w:val="00FC60D4"/>
    <w:rsid w:val="00FC77AE"/>
    <w:rsid w:val="00FC7D9F"/>
    <w:rsid w:val="00FD10B0"/>
    <w:rsid w:val="00FD2BAD"/>
    <w:rsid w:val="00FD2F51"/>
    <w:rsid w:val="00FD330C"/>
    <w:rsid w:val="00FD3660"/>
    <w:rsid w:val="00FD484C"/>
    <w:rsid w:val="00FD49D6"/>
    <w:rsid w:val="00FD55FB"/>
    <w:rsid w:val="00FD569D"/>
    <w:rsid w:val="00FD678B"/>
    <w:rsid w:val="00FD6903"/>
    <w:rsid w:val="00FE225D"/>
    <w:rsid w:val="00FE5C3E"/>
    <w:rsid w:val="00FF0A2F"/>
    <w:rsid w:val="00FF1B04"/>
    <w:rsid w:val="00FF22F8"/>
    <w:rsid w:val="00FF3255"/>
    <w:rsid w:val="00FF682F"/>
    <w:rsid w:val="020A6A96"/>
    <w:rsid w:val="0356786B"/>
    <w:rsid w:val="03841BC8"/>
    <w:rsid w:val="046E31C1"/>
    <w:rsid w:val="056C4F65"/>
    <w:rsid w:val="05883C21"/>
    <w:rsid w:val="05B437EC"/>
    <w:rsid w:val="05B80C59"/>
    <w:rsid w:val="06F4696E"/>
    <w:rsid w:val="07245E56"/>
    <w:rsid w:val="072779FF"/>
    <w:rsid w:val="0BE22C8C"/>
    <w:rsid w:val="0C023D8C"/>
    <w:rsid w:val="0E94232E"/>
    <w:rsid w:val="0F1306D5"/>
    <w:rsid w:val="10134CDE"/>
    <w:rsid w:val="11295396"/>
    <w:rsid w:val="12432CFD"/>
    <w:rsid w:val="15DC4082"/>
    <w:rsid w:val="163E2FB7"/>
    <w:rsid w:val="18435CDA"/>
    <w:rsid w:val="1A48157B"/>
    <w:rsid w:val="1ABE2ED9"/>
    <w:rsid w:val="1BD70953"/>
    <w:rsid w:val="1BF87698"/>
    <w:rsid w:val="1C78144D"/>
    <w:rsid w:val="1E585AB7"/>
    <w:rsid w:val="1EB160C2"/>
    <w:rsid w:val="1FF145B9"/>
    <w:rsid w:val="2193546F"/>
    <w:rsid w:val="23083986"/>
    <w:rsid w:val="23AF29A3"/>
    <w:rsid w:val="24924C8F"/>
    <w:rsid w:val="25675458"/>
    <w:rsid w:val="26123FD6"/>
    <w:rsid w:val="26F50BA9"/>
    <w:rsid w:val="29026D00"/>
    <w:rsid w:val="2A0E468C"/>
    <w:rsid w:val="2A642791"/>
    <w:rsid w:val="2AF97B0C"/>
    <w:rsid w:val="2B590E2A"/>
    <w:rsid w:val="2EA644DF"/>
    <w:rsid w:val="2FB532A0"/>
    <w:rsid w:val="2FE14D58"/>
    <w:rsid w:val="319C4BEA"/>
    <w:rsid w:val="3283538E"/>
    <w:rsid w:val="33DA2E89"/>
    <w:rsid w:val="34B41D11"/>
    <w:rsid w:val="34C829B2"/>
    <w:rsid w:val="35381804"/>
    <w:rsid w:val="386A3F56"/>
    <w:rsid w:val="3A810EF7"/>
    <w:rsid w:val="3C3802E9"/>
    <w:rsid w:val="3E0C1771"/>
    <w:rsid w:val="3E421485"/>
    <w:rsid w:val="3E586AB8"/>
    <w:rsid w:val="3E5C1B1D"/>
    <w:rsid w:val="3EAE14E9"/>
    <w:rsid w:val="3FA22D5A"/>
    <w:rsid w:val="3FD261A6"/>
    <w:rsid w:val="42626C92"/>
    <w:rsid w:val="42EB2F9C"/>
    <w:rsid w:val="45226963"/>
    <w:rsid w:val="469F5C49"/>
    <w:rsid w:val="4A3241BC"/>
    <w:rsid w:val="4C163B54"/>
    <w:rsid w:val="4C210EF5"/>
    <w:rsid w:val="4C9978BA"/>
    <w:rsid w:val="4D39606F"/>
    <w:rsid w:val="4E2912CA"/>
    <w:rsid w:val="4F8E3D4D"/>
    <w:rsid w:val="4FA308F4"/>
    <w:rsid w:val="51BA7EA1"/>
    <w:rsid w:val="51E57594"/>
    <w:rsid w:val="526123AA"/>
    <w:rsid w:val="53B3493A"/>
    <w:rsid w:val="5431778B"/>
    <w:rsid w:val="5537323C"/>
    <w:rsid w:val="55855837"/>
    <w:rsid w:val="55974979"/>
    <w:rsid w:val="56503211"/>
    <w:rsid w:val="57BD5DAE"/>
    <w:rsid w:val="598B567E"/>
    <w:rsid w:val="5BA577EB"/>
    <w:rsid w:val="5C624734"/>
    <w:rsid w:val="5FE91ABC"/>
    <w:rsid w:val="60D42826"/>
    <w:rsid w:val="628E734C"/>
    <w:rsid w:val="656B1A72"/>
    <w:rsid w:val="6580603B"/>
    <w:rsid w:val="68B96EA7"/>
    <w:rsid w:val="68C7223A"/>
    <w:rsid w:val="68EF6886"/>
    <w:rsid w:val="691F5BB5"/>
    <w:rsid w:val="694A7300"/>
    <w:rsid w:val="699457CF"/>
    <w:rsid w:val="6D9767D9"/>
    <w:rsid w:val="6FDD1093"/>
    <w:rsid w:val="709C0126"/>
    <w:rsid w:val="70D35CA6"/>
    <w:rsid w:val="712F05BE"/>
    <w:rsid w:val="72473609"/>
    <w:rsid w:val="73EB7F47"/>
    <w:rsid w:val="76022652"/>
    <w:rsid w:val="768501BE"/>
    <w:rsid w:val="76B466CC"/>
    <w:rsid w:val="76C8601E"/>
    <w:rsid w:val="7831779D"/>
    <w:rsid w:val="7AFB44D3"/>
    <w:rsid w:val="7D80556D"/>
    <w:rsid w:val="7ED86E63"/>
    <w:rsid w:val="7F7D23B8"/>
    <w:rsid w:val="7F8A69E7"/>
    <w:rsid w:val="7FC375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link w:val="3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9"/>
    <w:qFormat/>
    <w:uiPriority w:val="0"/>
    <w:pPr>
      <w:keepNext/>
      <w:keepLines/>
      <w:spacing w:before="260" w:after="260" w:line="413" w:lineRule="auto"/>
      <w:outlineLvl w:val="1"/>
    </w:pPr>
    <w:rPr>
      <w:rFonts w:ascii="Arial" w:hAnsi="Arial" w:eastAsia="黑体" w:cs="Times New Roman"/>
      <w:b/>
      <w:sz w:val="32"/>
      <w:szCs w:val="20"/>
    </w:rPr>
  </w:style>
  <w:style w:type="paragraph" w:styleId="4">
    <w:name w:val="heading 3"/>
    <w:basedOn w:val="1"/>
    <w:next w:val="1"/>
    <w:link w:val="50"/>
    <w:qFormat/>
    <w:uiPriority w:val="0"/>
    <w:pPr>
      <w:keepNext/>
      <w:keepLines/>
      <w:spacing w:before="260" w:after="260" w:line="413" w:lineRule="auto"/>
      <w:outlineLvl w:val="2"/>
    </w:pPr>
    <w:rPr>
      <w:rFonts w:ascii="Times New Roman" w:hAnsi="Times New Roman" w:cs="Times New Roman"/>
      <w:b/>
      <w:sz w:val="32"/>
      <w:szCs w:val="20"/>
    </w:rPr>
  </w:style>
  <w:style w:type="paragraph" w:styleId="5">
    <w:name w:val="heading 4"/>
    <w:basedOn w:val="1"/>
    <w:next w:val="1"/>
    <w:link w:val="51"/>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Times New Roman" w:hAnsi="Times New Roman" w:cs="Times New Roman"/>
      <w:szCs w:val="20"/>
    </w:rPr>
  </w:style>
  <w:style w:type="paragraph" w:styleId="7">
    <w:name w:val="Document Map"/>
    <w:basedOn w:val="1"/>
    <w:link w:val="62"/>
    <w:qFormat/>
    <w:uiPriority w:val="0"/>
    <w:pPr>
      <w:shd w:val="clear" w:color="auto" w:fill="000080"/>
    </w:pPr>
    <w:rPr>
      <w:rFonts w:ascii="Times New Roman" w:hAnsi="Times New Roman" w:cs="Times New Roman"/>
      <w:szCs w:val="20"/>
    </w:rPr>
  </w:style>
  <w:style w:type="paragraph" w:styleId="8">
    <w:name w:val="annotation text"/>
    <w:basedOn w:val="1"/>
    <w:link w:val="36"/>
    <w:qFormat/>
    <w:uiPriority w:val="99"/>
    <w:pPr>
      <w:widowControl/>
      <w:jc w:val="left"/>
    </w:pPr>
    <w:rPr>
      <w:rFonts w:ascii="宋体" w:hAnsi="宋体"/>
      <w:kern w:val="0"/>
      <w:sz w:val="24"/>
      <w:szCs w:val="24"/>
    </w:rPr>
  </w:style>
  <w:style w:type="paragraph" w:styleId="9">
    <w:name w:val="Body Text"/>
    <w:basedOn w:val="1"/>
    <w:link w:val="55"/>
    <w:qFormat/>
    <w:uiPriority w:val="0"/>
    <w:pPr>
      <w:autoSpaceDE w:val="0"/>
      <w:autoSpaceDN w:val="0"/>
      <w:adjustRightInd w:val="0"/>
      <w:spacing w:line="360" w:lineRule="auto"/>
      <w:jc w:val="left"/>
    </w:pPr>
    <w:rPr>
      <w:rFonts w:ascii="宋体"/>
      <w:kern w:val="0"/>
      <w:sz w:val="20"/>
      <w:szCs w:val="20"/>
    </w:rPr>
  </w:style>
  <w:style w:type="paragraph" w:styleId="10">
    <w:name w:val="toc 3"/>
    <w:basedOn w:val="1"/>
    <w:next w:val="1"/>
    <w:qFormat/>
    <w:uiPriority w:val="39"/>
    <w:pPr>
      <w:widowControl/>
      <w:spacing w:after="100" w:line="276" w:lineRule="auto"/>
      <w:ind w:left="440"/>
      <w:jc w:val="left"/>
    </w:pPr>
    <w:rPr>
      <w:kern w:val="0"/>
      <w:sz w:val="22"/>
    </w:rPr>
  </w:style>
  <w:style w:type="paragraph" w:styleId="11">
    <w:name w:val="Plain Text"/>
    <w:basedOn w:val="1"/>
    <w:link w:val="63"/>
    <w:qFormat/>
    <w:uiPriority w:val="0"/>
    <w:pPr>
      <w:adjustRightInd w:val="0"/>
      <w:spacing w:line="312" w:lineRule="atLeast"/>
      <w:textAlignment w:val="baseline"/>
    </w:pPr>
    <w:rPr>
      <w:rFonts w:ascii="宋体" w:hAnsi="Courier New" w:cs="Times New Roman"/>
      <w:kern w:val="0"/>
      <w:szCs w:val="20"/>
    </w:rPr>
  </w:style>
  <w:style w:type="paragraph" w:styleId="12">
    <w:name w:val="Body Text Indent 2"/>
    <w:basedOn w:val="1"/>
    <w:link w:val="70"/>
    <w:qFormat/>
    <w:uiPriority w:val="0"/>
    <w:pPr>
      <w:spacing w:line="360" w:lineRule="auto"/>
      <w:ind w:firstLine="425"/>
    </w:pPr>
    <w:rPr>
      <w:rFonts w:ascii="仿宋_GB2312" w:hAnsi="Times New Roman" w:eastAsia="仿宋_GB2312" w:cs="Times New Roman"/>
      <w:sz w:val="28"/>
      <w:szCs w:val="20"/>
    </w:rPr>
  </w:style>
  <w:style w:type="paragraph" w:styleId="13">
    <w:name w:val="Balloon Text"/>
    <w:basedOn w:val="1"/>
    <w:link w:val="37"/>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kern w:val="0"/>
      <w:sz w:val="22"/>
    </w:rPr>
  </w:style>
  <w:style w:type="paragraph" w:styleId="17">
    <w:name w:val="footnote text"/>
    <w:basedOn w:val="1"/>
    <w:link w:val="71"/>
    <w:qFormat/>
    <w:uiPriority w:val="0"/>
    <w:pPr>
      <w:snapToGrid w:val="0"/>
      <w:jc w:val="left"/>
    </w:pPr>
    <w:rPr>
      <w:rFonts w:ascii="Times New Roman" w:hAnsi="Times New Roman" w:cs="Times New Roman"/>
      <w:sz w:val="18"/>
      <w:szCs w:val="20"/>
    </w:rPr>
  </w:style>
  <w:style w:type="paragraph" w:styleId="18">
    <w:name w:val="Body Text Indent 3"/>
    <w:basedOn w:val="1"/>
    <w:link w:val="69"/>
    <w:qFormat/>
    <w:uiPriority w:val="0"/>
    <w:pPr>
      <w:autoSpaceDE w:val="0"/>
      <w:autoSpaceDN w:val="0"/>
      <w:adjustRightInd w:val="0"/>
      <w:spacing w:line="360" w:lineRule="auto"/>
      <w:ind w:left="420" w:firstLine="435"/>
    </w:pPr>
    <w:rPr>
      <w:rFonts w:ascii="Times New Roman" w:hAnsi="Times New Roman" w:cs="Times New Roman"/>
      <w:color w:val="0000FF"/>
      <w:szCs w:val="20"/>
    </w:rPr>
  </w:style>
  <w:style w:type="paragraph" w:styleId="19">
    <w:name w:val="toc 2"/>
    <w:basedOn w:val="1"/>
    <w:next w:val="1"/>
    <w:qFormat/>
    <w:uiPriority w:val="39"/>
    <w:pPr>
      <w:widowControl/>
      <w:spacing w:after="100" w:line="276" w:lineRule="auto"/>
      <w:ind w:left="220"/>
      <w:jc w:val="left"/>
    </w:pPr>
    <w:rPr>
      <w:kern w:val="0"/>
      <w:sz w:val="22"/>
    </w:rPr>
  </w:style>
  <w:style w:type="paragraph" w:styleId="20">
    <w:name w:val="HTML Preformatted"/>
    <w:basedOn w:val="1"/>
    <w:link w:val="4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paragraph" w:styleId="21">
    <w:name w:val="Normal (Web)"/>
    <w:basedOn w:val="1"/>
    <w:qFormat/>
    <w:uiPriority w:val="0"/>
    <w:pPr>
      <w:widowControl/>
      <w:spacing w:before="100" w:beforeAutospacing="1" w:after="100" w:afterAutospacing="1"/>
      <w:jc w:val="left"/>
    </w:pPr>
    <w:rPr>
      <w:rFonts w:ascii="宋体" w:hAnsi="宋体"/>
      <w:kern w:val="0"/>
      <w:sz w:val="24"/>
      <w:szCs w:val="24"/>
    </w:rPr>
  </w:style>
  <w:style w:type="paragraph" w:styleId="22">
    <w:name w:val="Title"/>
    <w:basedOn w:val="1"/>
    <w:next w:val="1"/>
    <w:link w:val="54"/>
    <w:qFormat/>
    <w:uiPriority w:val="0"/>
    <w:pPr>
      <w:spacing w:before="240" w:after="60"/>
      <w:jc w:val="center"/>
      <w:outlineLvl w:val="0"/>
    </w:pPr>
    <w:rPr>
      <w:rFonts w:ascii="Cambria" w:hAnsi="Cambria"/>
      <w:b/>
      <w:sz w:val="32"/>
      <w:szCs w:val="20"/>
    </w:rPr>
  </w:style>
  <w:style w:type="paragraph" w:styleId="23">
    <w:name w:val="annotation subject"/>
    <w:basedOn w:val="8"/>
    <w:next w:val="8"/>
    <w:link w:val="42"/>
    <w:qFormat/>
    <w:uiPriority w:val="0"/>
    <w:pPr>
      <w:widowControl w:val="0"/>
    </w:pPr>
    <w:rPr>
      <w:rFonts w:ascii="Calibri" w:hAnsi="Calibri"/>
      <w:b/>
      <w:bCs/>
      <w:kern w:val="2"/>
      <w:sz w:val="21"/>
      <w:szCs w:val="22"/>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qFormat/>
    <w:uiPriority w:val="22"/>
    <w:rPr>
      <w:b/>
      <w:bCs/>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styleId="30">
    <w:name w:val="annotation reference"/>
    <w:qFormat/>
    <w:uiPriority w:val="0"/>
    <w:rPr>
      <w:sz w:val="21"/>
      <w:szCs w:val="21"/>
    </w:rPr>
  </w:style>
  <w:style w:type="character" w:styleId="31">
    <w:name w:val="footnote reference"/>
    <w:qFormat/>
    <w:uiPriority w:val="0"/>
    <w:rPr>
      <w:vertAlign w:val="superscript"/>
    </w:rPr>
  </w:style>
  <w:style w:type="character" w:customStyle="1" w:styleId="32">
    <w:name w:val="页眉 Char"/>
    <w:basedOn w:val="26"/>
    <w:link w:val="15"/>
    <w:qFormat/>
    <w:uiPriority w:val="99"/>
    <w:rPr>
      <w:sz w:val="18"/>
      <w:szCs w:val="18"/>
    </w:rPr>
  </w:style>
  <w:style w:type="character" w:customStyle="1" w:styleId="33">
    <w:name w:val="页脚 Char"/>
    <w:basedOn w:val="26"/>
    <w:link w:val="14"/>
    <w:qFormat/>
    <w:uiPriority w:val="99"/>
    <w:rPr>
      <w:sz w:val="18"/>
      <w:szCs w:val="18"/>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a"/>
    <w:basedOn w:val="1"/>
    <w:qFormat/>
    <w:uiPriority w:val="99"/>
    <w:pPr>
      <w:widowControl/>
      <w:spacing w:before="100" w:beforeAutospacing="1" w:after="100" w:afterAutospacing="1"/>
      <w:jc w:val="left"/>
    </w:pPr>
    <w:rPr>
      <w:rFonts w:ascii="宋体" w:hAnsi="宋体"/>
      <w:kern w:val="0"/>
      <w:sz w:val="24"/>
      <w:szCs w:val="24"/>
    </w:rPr>
  </w:style>
  <w:style w:type="character" w:customStyle="1" w:styleId="36">
    <w:name w:val="批注文字 Char"/>
    <w:basedOn w:val="26"/>
    <w:link w:val="8"/>
    <w:qFormat/>
    <w:uiPriority w:val="99"/>
    <w:rPr>
      <w:rFonts w:ascii="宋体" w:hAnsi="宋体" w:eastAsia="宋体" w:cs="宋体"/>
      <w:kern w:val="0"/>
      <w:sz w:val="24"/>
      <w:szCs w:val="24"/>
    </w:rPr>
  </w:style>
  <w:style w:type="character" w:customStyle="1" w:styleId="37">
    <w:name w:val="批注框文本 Char"/>
    <w:basedOn w:val="26"/>
    <w:link w:val="13"/>
    <w:qFormat/>
    <w:uiPriority w:val="99"/>
    <w:rPr>
      <w:sz w:val="18"/>
      <w:szCs w:val="18"/>
    </w:rPr>
  </w:style>
  <w:style w:type="paragraph" w:styleId="38">
    <w:name w:val="List Paragraph"/>
    <w:basedOn w:val="1"/>
    <w:qFormat/>
    <w:uiPriority w:val="0"/>
    <w:pPr>
      <w:ind w:firstLine="420" w:firstLineChars="200"/>
    </w:pPr>
  </w:style>
  <w:style w:type="character" w:customStyle="1" w:styleId="39">
    <w:name w:val="标题 1 Char"/>
    <w:basedOn w:val="26"/>
    <w:link w:val="2"/>
    <w:qFormat/>
    <w:uiPriority w:val="9"/>
    <w:rPr>
      <w:b/>
      <w:bCs/>
      <w:kern w:val="44"/>
      <w:sz w:val="44"/>
      <w:szCs w:val="44"/>
    </w:rPr>
  </w:style>
  <w:style w:type="paragraph" w:customStyle="1" w:styleId="40">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41">
    <w:name w:val="修订1"/>
    <w:qFormat/>
    <w:uiPriority w:val="99"/>
    <w:rPr>
      <w:rFonts w:ascii="Calibri" w:hAnsi="Calibri" w:eastAsia="宋体" w:cs="宋体"/>
      <w:kern w:val="2"/>
      <w:sz w:val="21"/>
      <w:szCs w:val="22"/>
      <w:lang w:val="en-US" w:eastAsia="zh-CN" w:bidi="ar-SA"/>
    </w:rPr>
  </w:style>
  <w:style w:type="character" w:customStyle="1" w:styleId="42">
    <w:name w:val="批注主题 Char"/>
    <w:basedOn w:val="36"/>
    <w:link w:val="23"/>
    <w:qFormat/>
    <w:uiPriority w:val="99"/>
    <w:rPr>
      <w:rFonts w:ascii="宋体" w:hAnsi="宋体" w:eastAsia="宋体" w:cs="宋体"/>
      <w:b/>
      <w:bCs/>
      <w:kern w:val="0"/>
      <w:sz w:val="24"/>
      <w:szCs w:val="24"/>
    </w:rPr>
  </w:style>
  <w:style w:type="character" w:customStyle="1" w:styleId="43">
    <w:name w:val="HTML 预设格式 Char"/>
    <w:basedOn w:val="26"/>
    <w:link w:val="20"/>
    <w:qFormat/>
    <w:uiPriority w:val="99"/>
    <w:rPr>
      <w:rFonts w:ascii="宋体" w:hAnsi="宋体" w:eastAsia="宋体" w:cs="宋体"/>
      <w:kern w:val="0"/>
      <w:sz w:val="24"/>
      <w:szCs w:val="24"/>
    </w:rPr>
  </w:style>
  <w:style w:type="paragraph" w:customStyle="1" w:styleId="44">
    <w:name w:val="p0"/>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45">
    <w:name w:val="修订2"/>
    <w:hidden/>
    <w:semiHidden/>
    <w:qFormat/>
    <w:uiPriority w:val="99"/>
    <w:rPr>
      <w:rFonts w:ascii="Calibri" w:hAnsi="Calibri" w:eastAsia="宋体" w:cs="宋体"/>
      <w:kern w:val="2"/>
      <w:sz w:val="21"/>
      <w:szCs w:val="22"/>
      <w:lang w:val="en-US" w:eastAsia="zh-CN" w:bidi="ar-SA"/>
    </w:rPr>
  </w:style>
  <w:style w:type="character" w:customStyle="1" w:styleId="46">
    <w:name w:val="批注文字 Char1"/>
    <w:basedOn w:val="26"/>
    <w:qFormat/>
    <w:uiPriority w:val="0"/>
    <w:rPr>
      <w:kern w:val="2"/>
      <w:sz w:val="21"/>
    </w:rPr>
  </w:style>
  <w:style w:type="paragraph" w:customStyle="1" w:styleId="47">
    <w:name w:val="修订3"/>
    <w:hidden/>
    <w:semiHidden/>
    <w:qFormat/>
    <w:uiPriority w:val="99"/>
    <w:rPr>
      <w:rFonts w:ascii="Calibri" w:hAnsi="Calibri" w:eastAsia="宋体" w:cs="宋体"/>
      <w:kern w:val="2"/>
      <w:sz w:val="21"/>
      <w:szCs w:val="22"/>
      <w:lang w:val="en-US" w:eastAsia="zh-CN" w:bidi="ar-SA"/>
    </w:rPr>
  </w:style>
  <w:style w:type="paragraph" w:customStyle="1" w:styleId="48">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9">
    <w:name w:val="标题 2 Char"/>
    <w:basedOn w:val="26"/>
    <w:link w:val="3"/>
    <w:qFormat/>
    <w:uiPriority w:val="0"/>
    <w:rPr>
      <w:rFonts w:ascii="Arial" w:hAnsi="Arial" w:eastAsia="黑体" w:cs="Times New Roman"/>
      <w:b/>
      <w:kern w:val="2"/>
      <w:sz w:val="32"/>
    </w:rPr>
  </w:style>
  <w:style w:type="character" w:customStyle="1" w:styleId="50">
    <w:name w:val="标题 3 Char"/>
    <w:basedOn w:val="26"/>
    <w:link w:val="4"/>
    <w:qFormat/>
    <w:uiPriority w:val="0"/>
    <w:rPr>
      <w:rFonts w:ascii="Times New Roman" w:hAnsi="Times New Roman" w:cs="Times New Roman"/>
      <w:b/>
      <w:kern w:val="2"/>
      <w:sz w:val="32"/>
    </w:rPr>
  </w:style>
  <w:style w:type="character" w:customStyle="1" w:styleId="51">
    <w:name w:val="标题 4 Char"/>
    <w:basedOn w:val="26"/>
    <w:link w:val="5"/>
    <w:semiHidden/>
    <w:qFormat/>
    <w:uiPriority w:val="9"/>
    <w:rPr>
      <w:rFonts w:asciiTheme="majorHAnsi" w:hAnsiTheme="majorHAnsi" w:eastAsiaTheme="majorEastAsia" w:cstheme="majorBidi"/>
      <w:b/>
      <w:bCs/>
      <w:kern w:val="2"/>
      <w:sz w:val="28"/>
      <w:szCs w:val="28"/>
    </w:rPr>
  </w:style>
  <w:style w:type="character" w:customStyle="1" w:styleId="52">
    <w:name w:val="unnamed11"/>
    <w:qFormat/>
    <w:uiPriority w:val="0"/>
    <w:rPr>
      <w:rFonts w:hint="eastAsia" w:ascii="宋体" w:hAnsi="宋体" w:eastAsia="宋体"/>
      <w:sz w:val="18"/>
    </w:rPr>
  </w:style>
  <w:style w:type="character" w:customStyle="1" w:styleId="53">
    <w:name w:val="read"/>
    <w:basedOn w:val="26"/>
    <w:qFormat/>
    <w:uiPriority w:val="0"/>
  </w:style>
  <w:style w:type="character" w:customStyle="1" w:styleId="54">
    <w:name w:val="标题 Char"/>
    <w:link w:val="22"/>
    <w:qFormat/>
    <w:uiPriority w:val="0"/>
    <w:rPr>
      <w:rFonts w:ascii="Cambria" w:hAnsi="Cambria"/>
      <w:b/>
      <w:kern w:val="2"/>
      <w:sz w:val="32"/>
    </w:rPr>
  </w:style>
  <w:style w:type="character" w:customStyle="1" w:styleId="55">
    <w:name w:val="正文文本 Char"/>
    <w:link w:val="9"/>
    <w:qFormat/>
    <w:uiPriority w:val="0"/>
    <w:rPr>
      <w:rFonts w:ascii="宋体"/>
    </w:rPr>
  </w:style>
  <w:style w:type="paragraph" w:customStyle="1" w:styleId="56">
    <w:name w:val="Char"/>
    <w:basedOn w:val="1"/>
    <w:qFormat/>
    <w:uiPriority w:val="0"/>
    <w:rPr>
      <w:rFonts w:ascii="Times New Roman" w:hAnsi="Times New Roman" w:cs="Times New Roman"/>
      <w:szCs w:val="20"/>
    </w:rPr>
  </w:style>
  <w:style w:type="paragraph" w:customStyle="1" w:styleId="57">
    <w:name w:val="Char Char Char Char"/>
    <w:basedOn w:val="1"/>
    <w:qFormat/>
    <w:uiPriority w:val="0"/>
    <w:pPr>
      <w:tabs>
        <w:tab w:val="left" w:pos="360"/>
      </w:tabs>
    </w:pPr>
    <w:rPr>
      <w:rFonts w:ascii="Times New Roman" w:hAnsi="Times New Roman" w:cs="Times New Roman"/>
      <w:szCs w:val="20"/>
    </w:rPr>
  </w:style>
  <w:style w:type="paragraph" w:customStyle="1" w:styleId="58">
    <w:name w:val="Char Char1"/>
    <w:basedOn w:val="1"/>
    <w:qFormat/>
    <w:uiPriority w:val="0"/>
    <w:rPr>
      <w:rFonts w:ascii="Times New Roman" w:hAnsi="Times New Roman" w:cs="Times New Roman"/>
      <w:szCs w:val="20"/>
    </w:rPr>
  </w:style>
  <w:style w:type="paragraph" w:customStyle="1" w:styleId="59">
    <w:name w:val="unnamed1"/>
    <w:basedOn w:val="1"/>
    <w:qFormat/>
    <w:uiPriority w:val="0"/>
    <w:pPr>
      <w:spacing w:before="60" w:after="60"/>
      <w:ind w:left="15" w:right="15"/>
    </w:pPr>
    <w:rPr>
      <w:rFonts w:hint="eastAsia" w:ascii="宋体" w:hAnsi="宋体" w:cs="Times New Roman"/>
      <w:color w:val="000000"/>
      <w:sz w:val="18"/>
      <w:szCs w:val="18"/>
    </w:rPr>
  </w:style>
  <w:style w:type="paragraph" w:customStyle="1" w:styleId="60">
    <w:name w:val="正文正文"/>
    <w:basedOn w:val="1"/>
    <w:qFormat/>
    <w:uiPriority w:val="0"/>
    <w:pPr>
      <w:spacing w:afterLines="25" w:line="360" w:lineRule="auto"/>
      <w:ind w:firstLine="200" w:firstLineChars="200"/>
    </w:pPr>
    <w:rPr>
      <w:rFonts w:ascii="Times New Roman" w:hAnsi="Times New Roman" w:cs="Times New Roman"/>
      <w:sz w:val="24"/>
      <w:szCs w:val="20"/>
    </w:rPr>
  </w:style>
  <w:style w:type="paragraph" w:customStyle="1" w:styleId="61">
    <w:name w:val="Char2"/>
    <w:basedOn w:val="1"/>
    <w:qFormat/>
    <w:uiPriority w:val="0"/>
    <w:rPr>
      <w:rFonts w:ascii="Times New Roman" w:hAnsi="Times New Roman" w:cs="Times New Roman"/>
      <w:szCs w:val="20"/>
    </w:rPr>
  </w:style>
  <w:style w:type="character" w:customStyle="1" w:styleId="62">
    <w:name w:val="文档结构图 Char"/>
    <w:basedOn w:val="26"/>
    <w:link w:val="7"/>
    <w:qFormat/>
    <w:uiPriority w:val="0"/>
    <w:rPr>
      <w:rFonts w:ascii="Times New Roman" w:hAnsi="Times New Roman" w:cs="Times New Roman"/>
      <w:kern w:val="2"/>
      <w:sz w:val="21"/>
      <w:shd w:val="clear" w:color="auto" w:fill="000080"/>
    </w:rPr>
  </w:style>
  <w:style w:type="character" w:customStyle="1" w:styleId="63">
    <w:name w:val="纯文本 Char"/>
    <w:basedOn w:val="26"/>
    <w:link w:val="11"/>
    <w:qFormat/>
    <w:uiPriority w:val="0"/>
    <w:rPr>
      <w:rFonts w:ascii="宋体" w:hAnsi="Courier New" w:cs="Times New Roman"/>
      <w:sz w:val="21"/>
    </w:rPr>
  </w:style>
  <w:style w:type="paragraph" w:customStyle="1" w:styleId="64">
    <w:name w:val="Char Char"/>
    <w:basedOn w:val="1"/>
    <w:qFormat/>
    <w:uiPriority w:val="0"/>
    <w:rPr>
      <w:rFonts w:ascii="Times New Roman" w:hAnsi="Times New Roman" w:cs="Times New Roman"/>
      <w:szCs w:val="20"/>
    </w:rPr>
  </w:style>
  <w:style w:type="character" w:customStyle="1" w:styleId="65">
    <w:name w:val="正文文本 Char1"/>
    <w:basedOn w:val="26"/>
    <w:semiHidden/>
    <w:qFormat/>
    <w:uiPriority w:val="99"/>
    <w:rPr>
      <w:kern w:val="2"/>
      <w:sz w:val="21"/>
      <w:szCs w:val="22"/>
    </w:rPr>
  </w:style>
  <w:style w:type="character" w:customStyle="1" w:styleId="66">
    <w:name w:val="标题 Char1"/>
    <w:basedOn w:val="26"/>
    <w:qFormat/>
    <w:uiPriority w:val="10"/>
    <w:rPr>
      <w:rFonts w:asciiTheme="majorHAnsi" w:hAnsiTheme="majorHAnsi" w:cstheme="majorBidi"/>
      <w:b/>
      <w:bCs/>
      <w:kern w:val="2"/>
      <w:sz w:val="32"/>
      <w:szCs w:val="32"/>
    </w:rPr>
  </w:style>
  <w:style w:type="paragraph" w:customStyle="1" w:styleId="67">
    <w:name w:val="Char Char Char"/>
    <w:basedOn w:val="1"/>
    <w:qFormat/>
    <w:uiPriority w:val="0"/>
    <w:rPr>
      <w:rFonts w:ascii="Times New Roman" w:hAnsi="Times New Roman" w:cs="Times New Roman"/>
      <w:szCs w:val="20"/>
    </w:rPr>
  </w:style>
  <w:style w:type="paragraph" w:customStyle="1" w:styleId="68">
    <w:name w:val="msonormal1"/>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69">
    <w:name w:val="正文文本缩进 3 Char"/>
    <w:basedOn w:val="26"/>
    <w:link w:val="18"/>
    <w:qFormat/>
    <w:uiPriority w:val="0"/>
    <w:rPr>
      <w:rFonts w:ascii="Times New Roman" w:hAnsi="Times New Roman" w:cs="Times New Roman"/>
      <w:color w:val="0000FF"/>
      <w:kern w:val="2"/>
      <w:sz w:val="21"/>
    </w:rPr>
  </w:style>
  <w:style w:type="character" w:customStyle="1" w:styleId="70">
    <w:name w:val="正文文本缩进 2 Char"/>
    <w:basedOn w:val="26"/>
    <w:link w:val="12"/>
    <w:qFormat/>
    <w:uiPriority w:val="0"/>
    <w:rPr>
      <w:rFonts w:ascii="仿宋_GB2312" w:hAnsi="Times New Roman" w:eastAsia="仿宋_GB2312" w:cs="Times New Roman"/>
      <w:kern w:val="2"/>
      <w:sz w:val="28"/>
    </w:rPr>
  </w:style>
  <w:style w:type="character" w:customStyle="1" w:styleId="71">
    <w:name w:val="脚注文本 Char"/>
    <w:basedOn w:val="26"/>
    <w:link w:val="17"/>
    <w:qFormat/>
    <w:uiPriority w:val="0"/>
    <w:rPr>
      <w:rFonts w:ascii="Times New Roman" w:hAnsi="Times New Roman" w:cs="Times New Roman"/>
      <w:kern w:val="2"/>
      <w:sz w:val="18"/>
    </w:rPr>
  </w:style>
  <w:style w:type="paragraph" w:customStyle="1" w:styleId="72">
    <w:name w:val="List_bullet"/>
    <w:basedOn w:val="1"/>
    <w:qFormat/>
    <w:uiPriority w:val="0"/>
    <w:pPr>
      <w:widowControl/>
      <w:numPr>
        <w:ilvl w:val="0"/>
        <w:numId w:val="1"/>
      </w:numPr>
      <w:jc w:val="left"/>
    </w:pPr>
    <w:rPr>
      <w:rFonts w:ascii="Times New Roman" w:hAnsi="Times New Roman" w:cs="Times New Roman"/>
      <w:kern w:val="0"/>
      <w:sz w:val="24"/>
      <w:szCs w:val="20"/>
    </w:rPr>
  </w:style>
  <w:style w:type="paragraph" w:customStyle="1" w:styleId="73">
    <w:name w:val="InfoBlue"/>
    <w:basedOn w:val="1"/>
    <w:next w:val="9"/>
    <w:qFormat/>
    <w:uiPriority w:val="0"/>
    <w:pPr>
      <w:tabs>
        <w:tab w:val="left" w:pos="420"/>
      </w:tabs>
      <w:spacing w:after="120" w:line="240" w:lineRule="atLeast"/>
      <w:ind w:left="420" w:hanging="420"/>
      <w:jc w:val="left"/>
    </w:pPr>
    <w:rPr>
      <w:rFonts w:ascii="宋体" w:hAnsi="宋体" w:cs="Times New Roman"/>
      <w:szCs w:val="20"/>
    </w:rPr>
  </w:style>
  <w:style w:type="paragraph" w:customStyle="1" w:styleId="74">
    <w:name w:val="正文所"/>
    <w:basedOn w:val="1"/>
    <w:qFormat/>
    <w:uiPriority w:val="0"/>
    <w:pPr>
      <w:spacing w:line="360" w:lineRule="auto"/>
      <w:ind w:firstLine="420" w:firstLineChars="200"/>
    </w:pPr>
    <w:rPr>
      <w:rFonts w:ascii="宋体" w:hAnsi="Times New Roman" w:cs="Times New Roman"/>
      <w:szCs w:val="20"/>
    </w:rPr>
  </w:style>
  <w:style w:type="paragraph" w:customStyle="1" w:styleId="75">
    <w:name w:val="Char Char6"/>
    <w:basedOn w:val="1"/>
    <w:qFormat/>
    <w:uiPriority w:val="0"/>
    <w:rPr>
      <w:rFonts w:ascii="Times New Roman" w:hAnsi="Times New Roman" w:cs="Times New Roman"/>
      <w:szCs w:val="20"/>
    </w:rPr>
  </w:style>
  <w:style w:type="paragraph" w:customStyle="1" w:styleId="76">
    <w:name w:val="Char Char Char Char1"/>
    <w:basedOn w:val="1"/>
    <w:qFormat/>
    <w:uiPriority w:val="0"/>
    <w:pPr>
      <w:tabs>
        <w:tab w:val="left" w:pos="360"/>
      </w:tabs>
    </w:pPr>
    <w:rPr>
      <w:rFonts w:ascii="Times New Roman" w:hAnsi="Times New Roman" w:cs="Times New Roman"/>
      <w:szCs w:val="20"/>
    </w:rPr>
  </w:style>
  <w:style w:type="paragraph" w:customStyle="1" w:styleId="77">
    <w:name w:val="Char Char11"/>
    <w:basedOn w:val="1"/>
    <w:qFormat/>
    <w:uiPriority w:val="0"/>
    <w:rPr>
      <w:rFonts w:ascii="Times New Roman" w:hAnsi="Times New Roman" w:cs="Times New Roman"/>
      <w:szCs w:val="20"/>
    </w:rPr>
  </w:style>
  <w:style w:type="paragraph" w:customStyle="1" w:styleId="78">
    <w:name w:val="Char1"/>
    <w:basedOn w:val="1"/>
    <w:qFormat/>
    <w:uiPriority w:val="0"/>
    <w:rPr>
      <w:rFonts w:ascii="Times New Roman" w:hAnsi="Times New Roman" w:cs="Times New Roman"/>
      <w:szCs w:val="20"/>
    </w:rPr>
  </w:style>
  <w:style w:type="paragraph" w:customStyle="1" w:styleId="79">
    <w:name w:val="Char Char5"/>
    <w:basedOn w:val="1"/>
    <w:qFormat/>
    <w:uiPriority w:val="0"/>
    <w:rPr>
      <w:rFonts w:ascii="Times New Roman" w:hAnsi="Times New Roman" w:cs="Times New Roman"/>
      <w:szCs w:val="20"/>
    </w:rPr>
  </w:style>
  <w:style w:type="paragraph" w:customStyle="1" w:styleId="80">
    <w:name w:val="Char Char Char1"/>
    <w:basedOn w:val="1"/>
    <w:qFormat/>
    <w:uiPriority w:val="0"/>
    <w:rPr>
      <w:rFonts w:ascii="Times New Roman" w:hAnsi="Times New Roman" w:cs="Times New Roman"/>
      <w:szCs w:val="20"/>
    </w:rPr>
  </w:style>
  <w:style w:type="paragraph" w:customStyle="1" w:styleId="81">
    <w:name w:val="Char Char4"/>
    <w:basedOn w:val="1"/>
    <w:qFormat/>
    <w:uiPriority w:val="0"/>
    <w:rPr>
      <w:rFonts w:ascii="Times New Roman" w:hAnsi="Times New Roman" w:cs="Times New Roman"/>
      <w:szCs w:val="20"/>
    </w:rPr>
  </w:style>
  <w:style w:type="paragraph" w:customStyle="1" w:styleId="82">
    <w:name w:val="Char Char3"/>
    <w:basedOn w:val="1"/>
    <w:qFormat/>
    <w:uiPriority w:val="0"/>
    <w:rPr>
      <w:rFonts w:ascii="Times New Roman" w:hAnsi="Times New Roman" w:cs="Times New Roman"/>
      <w:szCs w:val="20"/>
    </w:rPr>
  </w:style>
  <w:style w:type="paragraph" w:customStyle="1" w:styleId="83">
    <w:name w:val="Char Char2"/>
    <w:basedOn w:val="1"/>
    <w:qFormat/>
    <w:uiPriority w:val="0"/>
    <w:rPr>
      <w:rFonts w:ascii="Times New Roman" w:hAnsi="Times New Roman" w:cs="Times New Roman"/>
      <w:szCs w:val="20"/>
    </w:rPr>
  </w:style>
  <w:style w:type="paragraph" w:customStyle="1" w:styleId="84">
    <w:name w:val="正文1"/>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11" Target="../customXml/item4.xml" Type="http://schemas.openxmlformats.org/officeDocument/2006/relationships/customXml"/><Relationship Id="rId12" Target="../customXml/item5.xml" Type="http://schemas.openxmlformats.org/officeDocument/2006/relationships/customXml"/><Relationship Id="rId13" Target="../customXml/item6.xml" Type="http://schemas.openxmlformats.org/officeDocument/2006/relationships/customXml"/><Relationship Id="rId14" Target="../customXml/item7.xml" Type="http://schemas.openxmlformats.org/officeDocument/2006/relationships/customXml"/><Relationship Id="rId15" Target="../customXml/item8.xml" Type="http://schemas.openxmlformats.org/officeDocument/2006/relationships/customXml"/><Relationship Id="rId16" Target="../customXml/item9.xml" Type="http://schemas.openxmlformats.org/officeDocument/2006/relationships/customXml"/><Relationship Id="rId17" Target="../customXml/item10.xml" Type="http://schemas.openxmlformats.org/officeDocument/2006/relationships/customXml"/><Relationship Id="rId18" Target="../customXml/item11.xml" Type="http://schemas.openxmlformats.org/officeDocument/2006/relationships/customXml"/><Relationship Id="rId19" Target="../customXml/item12.xml" Type="http://schemas.openxmlformats.org/officeDocument/2006/relationships/customXml"/><Relationship Id="rId2" Target="settings.xml" Type="http://schemas.openxmlformats.org/officeDocument/2006/relationships/settings"/><Relationship Id="rId20" Target="../customXml/item13.xml" Type="http://schemas.openxmlformats.org/officeDocument/2006/relationships/customXml"/><Relationship Id="rId21" Target="../customXml/item14.xml" Type="http://schemas.openxmlformats.org/officeDocument/2006/relationships/customXml"/><Relationship Id="rId22" Target="../customXml/item15.xml" Type="http://schemas.openxmlformats.org/officeDocument/2006/relationships/customXml"/><Relationship Id="rId23" Target="../customXml/item16.xml" Type="http://schemas.openxmlformats.org/officeDocument/2006/relationships/customXml"/><Relationship Id="rId24" Target="../customXml/item17.xml" Type="http://schemas.openxmlformats.org/officeDocument/2006/relationships/customXml"/><Relationship Id="rId25" Target="fontTable.xml" Type="http://schemas.openxmlformats.org/officeDocument/2006/relationships/fontTable"/><Relationship Id="rId3" Target="header1.xml" Type="http://schemas.openxmlformats.org/officeDocument/2006/relationships/header"/><Relationship Id="rId4" Target="footer1.xml" Type="http://schemas.openxmlformats.org/officeDocument/2006/relationships/footer"/><Relationship Id="rId5" Target="theme/theme1.xml" Type="http://schemas.openxmlformats.org/officeDocument/2006/relationships/theme"/><Relationship Id="rId6" Target="media/image1.jpeg" Type="http://schemas.openxmlformats.org/officeDocument/2006/relationships/image"/><Relationship Id="rId7" Target="numbering.xml" Type="http://schemas.openxmlformats.org/officeDocument/2006/relationships/numbering"/><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10.xml.rels><?xml version="1.0" encoding="UTF-8" standalone="no"?><Relationships xmlns="http://schemas.openxmlformats.org/package/2006/relationships"><Relationship Id="rId1" Target="itemProps10.xml" Type="http://schemas.openxmlformats.org/officeDocument/2006/relationships/customXmlProps"/></Relationships>
</file>

<file path=customXml/_rels/item11.xml.rels><?xml version="1.0" encoding="UTF-8" standalone="no"?><Relationships xmlns="http://schemas.openxmlformats.org/package/2006/relationships"><Relationship Id="rId1" Target="itemProps11.xml" Type="http://schemas.openxmlformats.org/officeDocument/2006/relationships/customXmlProps"/></Relationships>
</file>

<file path=customXml/_rels/item12.xml.rels><?xml version="1.0" encoding="UTF-8" standalone="no"?><Relationships xmlns="http://schemas.openxmlformats.org/package/2006/relationships"><Relationship Id="rId1" Target="itemProps12.xml" Type="http://schemas.openxmlformats.org/officeDocument/2006/relationships/customXmlProps"/></Relationships>
</file>

<file path=customXml/_rels/item13.xml.rels><?xml version="1.0" encoding="UTF-8" standalone="no"?><Relationships xmlns="http://schemas.openxmlformats.org/package/2006/relationships"><Relationship Id="rId1" Target="itemProps13.xml" Type="http://schemas.openxmlformats.org/officeDocument/2006/relationships/customXmlProps"/></Relationships>
</file>

<file path=customXml/_rels/item14.xml.rels><?xml version="1.0" encoding="UTF-8" standalone="no"?><Relationships xmlns="http://schemas.openxmlformats.org/package/2006/relationships"><Relationship Id="rId1" Target="itemProps14.xml" Type="http://schemas.openxmlformats.org/officeDocument/2006/relationships/customXmlProps"/></Relationships>
</file>

<file path=customXml/_rels/item15.xml.rels><?xml version="1.0" encoding="UTF-8" standalone="no"?><Relationships xmlns="http://schemas.openxmlformats.org/package/2006/relationships"><Relationship Id="rId1" Target="itemProps15.xml" Type="http://schemas.openxmlformats.org/officeDocument/2006/relationships/customXmlProps"/></Relationships>
</file>

<file path=customXml/_rels/item16.xml.rels><?xml version="1.0" encoding="UTF-8" standalone="no"?><Relationships xmlns="http://schemas.openxmlformats.org/package/2006/relationships"><Relationship Id="rId1" Target="itemProps16.xml" Type="http://schemas.openxmlformats.org/officeDocument/2006/relationships/customXmlProps"/></Relationships>
</file>

<file path=customXml/_rels/item17.xml.rels><?xml version="1.0" encoding="UTF-8" standalone="no"?><Relationships xmlns="http://schemas.openxmlformats.org/package/2006/relationships"><Relationship Id="rId1" Target="itemProps17.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_rels/item5.xml.rels><?xml version="1.0" encoding="UTF-8" standalone="no"?><Relationships xmlns="http://schemas.openxmlformats.org/package/2006/relationships"><Relationship Id="rId1" Target="itemProps5.xml" Type="http://schemas.openxmlformats.org/officeDocument/2006/relationships/customXmlProps"/></Relationships>
</file>

<file path=customXml/_rels/item6.xml.rels><?xml version="1.0" encoding="UTF-8" standalone="no"?><Relationships xmlns="http://schemas.openxmlformats.org/package/2006/relationships"><Relationship Id="rId1" Target="itemProps6.xml" Type="http://schemas.openxmlformats.org/officeDocument/2006/relationships/customXmlProps"/></Relationships>
</file>

<file path=customXml/_rels/item7.xml.rels><?xml version="1.0" encoding="UTF-8" standalone="no"?><Relationships xmlns="http://schemas.openxmlformats.org/package/2006/relationships"><Relationship Id="rId1" Target="itemProps7.xml" Type="http://schemas.openxmlformats.org/officeDocument/2006/relationships/customXmlProps"/></Relationships>
</file>

<file path=customXml/_rels/item8.xml.rels><?xml version="1.0" encoding="UTF-8" standalone="no"?><Relationships xmlns="http://schemas.openxmlformats.org/package/2006/relationships"><Relationship Id="rId1" Target="itemProps8.xml" Type="http://schemas.openxmlformats.org/officeDocument/2006/relationships/customXmlProps"/></Relationships>
</file>

<file path=customXml/_rels/item9.xml.rels><?xml version="1.0" encoding="UTF-8" standalone="no"?><Relationships xmlns="http://schemas.openxmlformats.org/package/2006/relationships"><Relationship Id="rId1" Target="itemProps9.xml" Type="http://schemas.openxmlformats.org/officeDocument/2006/relationships/customXmlProps"/></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xml version="1.0" encoding="utf-8"?>
<mcd:customData xmlns="http://www.wps.cn/android/officeDocument/2013/mofficeCustomData" xmlns:mcd="http://www.wps.cn/android/officeDocument/2013/mofficeCustomData" version="2">
  <mcd:comments/>
</mcd:customData>
</file>

<file path=customXml/item16.xml><?xml version="1.0" encoding="utf-8"?>
<mcd:customData xmlns="http://www.wps.cn/android/officeDocument/2013/mofficeCustomData" xmlns:mcd="http://www.wps.cn/android/officeDocument/2013/mofficeCustomData" version="2">
  <mcd:comments/>
</mcd:customData>
</file>

<file path=customXml/item17.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BA638-9D3A-4AA3-A169-FF78BC0E4BE9}">
  <ds:schemaRefs/>
</ds:datastoreItem>
</file>

<file path=customXml/itemProps10.xml><?xml version="1.0" encoding="utf-8"?>
<ds:datastoreItem xmlns:ds="http://schemas.openxmlformats.org/officeDocument/2006/customXml" ds:itemID="{79B37214-9E52-4241-8DD2-9E9CD9442006}">
  <ds:schemaRefs/>
</ds:datastoreItem>
</file>

<file path=customXml/itemProps11.xml><?xml version="1.0" encoding="utf-8"?>
<ds:datastoreItem xmlns:ds="http://schemas.openxmlformats.org/officeDocument/2006/customXml" ds:itemID="{7E5C9D84-6DB6-48FB-8632-D5279FC233C8}">
  <ds:schemaRefs/>
</ds:datastoreItem>
</file>

<file path=customXml/itemProps12.xml><?xml version="1.0" encoding="utf-8"?>
<ds:datastoreItem xmlns:ds="http://schemas.openxmlformats.org/officeDocument/2006/customXml" ds:itemID="{2108FF18-8EC8-4170-A536-1AA8E39CC797}">
  <ds:schemaRefs/>
</ds:datastoreItem>
</file>

<file path=customXml/itemProps13.xml><?xml version="1.0" encoding="utf-8"?>
<ds:datastoreItem xmlns:ds="http://schemas.openxmlformats.org/officeDocument/2006/customXml" ds:itemID="{E6D3D55C-3DD8-4C31-8069-E5508DD844FB}">
  <ds:schemaRefs/>
</ds:datastoreItem>
</file>

<file path=customXml/itemProps14.xml><?xml version="1.0" encoding="utf-8"?>
<ds:datastoreItem xmlns:ds="http://schemas.openxmlformats.org/officeDocument/2006/customXml" ds:itemID="{EC45DDBE-A426-47CA-BC62-D025DE29F1BC}">
  <ds:schemaRefs/>
</ds:datastoreItem>
</file>

<file path=customXml/itemProps15.xml><?xml version="1.0" encoding="utf-8"?>
<ds:datastoreItem xmlns:ds="http://schemas.openxmlformats.org/officeDocument/2006/customXml" ds:itemID="{BEEE0313-55EB-45FA-BBBD-C0232D367255}">
  <ds:schemaRefs/>
</ds:datastoreItem>
</file>

<file path=customXml/itemProps16.xml><?xml version="1.0" encoding="utf-8"?>
<ds:datastoreItem xmlns:ds="http://schemas.openxmlformats.org/officeDocument/2006/customXml" ds:itemID="{1A3BDF38-4832-4575-A8AB-7A1679738229}">
  <ds:schemaRefs/>
</ds:datastoreItem>
</file>

<file path=customXml/itemProps17.xml><?xml version="1.0" encoding="utf-8"?>
<ds:datastoreItem xmlns:ds="http://schemas.openxmlformats.org/officeDocument/2006/customXml" ds:itemID="{CF487381-D648-48A1-B1E4-A4540B0D3650}">
  <ds:schemaRefs/>
</ds:datastoreItem>
</file>

<file path=customXml/itemProps2.xml><?xml version="1.0" encoding="utf-8"?>
<ds:datastoreItem xmlns:ds="http://schemas.openxmlformats.org/officeDocument/2006/customXml" ds:itemID="{AC86F3EB-DB57-4B60-8A7E-BBB67A22EE0B}">
  <ds:schemaRefs/>
</ds:datastoreItem>
</file>

<file path=customXml/itemProps3.xml><?xml version="1.0" encoding="utf-8"?>
<ds:datastoreItem xmlns:ds="http://schemas.openxmlformats.org/officeDocument/2006/customXml" ds:itemID="{D902962D-C8CC-43BF-804A-CD60AE6D7475}">
  <ds:schemaRefs/>
</ds:datastoreItem>
</file>

<file path=customXml/itemProps4.xml><?xml version="1.0" encoding="utf-8"?>
<ds:datastoreItem xmlns:ds="http://schemas.openxmlformats.org/officeDocument/2006/customXml" ds:itemID="{0A7AA9EF-3B8C-4BAA-9155-A6E3E5337D3C}">
  <ds:schemaRefs/>
</ds:datastoreItem>
</file>

<file path=customXml/itemProps5.xml><?xml version="1.0" encoding="utf-8"?>
<ds:datastoreItem xmlns:ds="http://schemas.openxmlformats.org/officeDocument/2006/customXml" ds:itemID="{3A3C3A8D-C5E4-45AF-8B48-C3BF528808AD}">
  <ds:schemaRefs/>
</ds:datastoreItem>
</file>

<file path=customXml/itemProps6.xml><?xml version="1.0" encoding="utf-8"?>
<ds:datastoreItem xmlns:ds="http://schemas.openxmlformats.org/officeDocument/2006/customXml" ds:itemID="{A06CD169-7F5C-4082-81B2-6ECAA9AF6149}">
  <ds:schemaRefs/>
</ds:datastoreItem>
</file>

<file path=customXml/itemProps7.xml><?xml version="1.0" encoding="utf-8"?>
<ds:datastoreItem xmlns:ds="http://schemas.openxmlformats.org/officeDocument/2006/customXml" ds:itemID="{1990A2D8-324F-45D5-B9CD-07245ED2860B}">
  <ds:schemaRefs/>
</ds:datastoreItem>
</file>

<file path=customXml/itemProps8.xml><?xml version="1.0" encoding="utf-8"?>
<ds:datastoreItem xmlns:ds="http://schemas.openxmlformats.org/officeDocument/2006/customXml" ds:itemID="{9114D43D-ED98-4C7B-A3AE-26D78B80CA82}">
  <ds:schemaRefs/>
</ds:datastoreItem>
</file>

<file path=customXml/itemProps9.xml><?xml version="1.0" encoding="utf-8"?>
<ds:datastoreItem xmlns:ds="http://schemas.openxmlformats.org/officeDocument/2006/customXml" ds:itemID="{1EEDD527-97BA-47F6-B37E-95B51416FA3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3557</Words>
  <Characters>20276</Characters>
  <Lines>168</Lines>
  <Paragraphs>47</Paragraphs>
  <TotalTime>1</TotalTime>
  <ScaleCrop>false</ScaleCrop>
  <LinksUpToDate>false</LinksUpToDate>
  <CharactersWithSpaces>23786</CharactersWithSpaces>
  <Application>WPS Office_12.1.0.22529_F1E327BC-269C-435d-A152-05C5408002CA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2024-03-04T02:34:00Z</dcterms:created>
  <dc:creator>张淼雯</dc:creator>
  <cp:lastModifiedBy>cib</cp:lastModifiedBy>
  <cp:lastPrinted>2020-09-21T06:35:00Z</cp:lastPrinted>
  <dcterms:modified xsi:type="dcterms:W3CDTF">2026-03-03T02:47:42Z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E7753498575549C58E5916A0AC4FD49A_13</vt:lpwstr>
  </property>
</Properties>
</file>